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 que j’ai fait: Aline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Page d’accueil + footer responsive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Mise en page des formulaires pour modifier l’article et pour ajouter un article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Développer la page de commande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Problèmes +solutions: Aline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Problème de connexion à la BDD -&gt; copié la bdd sur phpMyAdmin avec wampServer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Envoyer les informations au controller -&gt; envoie d’un formulaire depuis la 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groupe 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Une autocritique du projet: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Liaison de la partie Front-end et Back-end aurait pu se faire plus tôt dans la partie développement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Hébergement de la base de données dans une base qui n’était pas la plus adaptée à la majorité des membres du groupe (PostgreSQL)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 qu'il reste a faire dans le projet: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Traduction du site en anglais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Rendre le site totalement responsive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Envoie de la notification pour le stock bas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mise à jour des stocks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ajout de la vente réalisée dans l’historique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La conclusion: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critique: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qu’on peut faire est encore une fois d’organiser des réunions avec les membres du bde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