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3A5C"/>
          <w:sz w:val="36"/>
          <w:szCs w:val="36"/>
        </w:rPr>
        <w:t xml:space="preserve">Druggability Project — Handoff &amp; Context</w:t>
      </w:r>
    </w:p>
    <w:p>
      <w:pPr>
        <w:spacing w:after="60"/>
        <w:jc w:val="center"/>
      </w:pPr>
      <w:r>
        <w:rPr>
          <w:rFonts w:ascii="Calibri" w:cs="Calibri" w:eastAsia="Calibri" w:hAnsi="Calibri"/>
          <w:i/>
          <w:iCs/>
          <w:color w:val="2E5D8F"/>
          <w:sz w:val="22"/>
          <w:szCs w:val="22"/>
        </w:rPr>
        <w:t xml:space="preserve">Joseph Lenczowski  |  Directed Studies, UBC AI for Biochemistry</w:t>
      </w:r>
    </w:p>
    <w:p>
      <w:pPr>
        <w:spacing w:after="360"/>
        <w:jc w:val="center"/>
      </w:pPr>
      <w:r>
        <w:rPr>
          <w:rFonts w:ascii="Calibri" w:cs="Calibri" w:eastAsia="Calibri" w:hAnsi="Calibri"/>
          <w:i/>
          <w:iCs/>
          <w:color w:val="5A7BA8"/>
          <w:sz w:val="20"/>
          <w:szCs w:val="20"/>
        </w:rPr>
        <w:t xml:space="preserve">Compiled May 29, 2026 (post-presentation handoff)</w:t>
      </w:r>
    </w:p>
    <w:p>
      <w:pPr>
        <w:pBdr>
          <w:bottom w:val="single" w:color="5A7BA8" w:sz="8" w:space="4"/>
        </w:pBdr>
        <w:spacing w:after="240"/>
      </w:pPr>
      <w:r>
        <w:rPr>
          <w:rFonts w:ascii="Calibri" w:cs="Calibri" w:eastAsia="Calibri" w:hAnsi="Calibri"/>
          <w:i/>
          <w:iCs/>
          <w:color w:val="5A7BA8"/>
          <w:sz w:val="20"/>
          <w:szCs w:val="20"/>
        </w:rPr>
        <w:t xml:space="preserve">Complete context for picking up the druggability classification project. Covers phase 1 work (AlphaFold structural database), phase 2 work (ESM-2 druggability classifier), supervisor's fine-tuning pipeline, and planned next steps for dataset expansion and similarity-based evaluation.</w:t>
      </w:r>
    </w:p>
    <w:p>
      <w:pPr>
        <w:pBdr>
          <w:bottom w:val="single" w:color="1A3A5C" w:sz="12" w:space="4"/>
        </w:pBdr>
        <w:spacing w:after="180" w:before="480"/>
      </w:pPr>
      <w:r>
        <w:rPr>
          <w:rFonts w:ascii="Arial" w:cs="Arial" w:eastAsia="Arial" w:hAnsi="Arial"/>
          <w:b/>
          <w:bCs/>
          <w:color w:val="1A3A5C"/>
          <w:sz w:val="32"/>
          <w:szCs w:val="32"/>
        </w:rPr>
        <w:t xml:space="preserve">Project Context</w:t>
      </w:r>
    </w:p>
    <w:p>
      <w:pPr>
        <w:spacing w:after="120" w:before="120" w:line="320"/>
      </w:pPr>
      <w:r>
        <w:rPr>
          <w:rFonts w:ascii="Calibri" w:cs="Calibri" w:eastAsia="Calibri" w:hAnsi="Calibri"/>
          <w:color w:val="1A1A1A"/>
          <w:sz w:val="22"/>
          <w:szCs w:val="22"/>
        </w:rPr>
        <w:t xml:space="preserve">This is a UBC directed studies project under Dr. Henry Kilgore, AI for Biochemistry. Three undergrads each build a binary classifier for a different protein property: Sally and Cleo on aggregation, Joseph on druggability, and Harry/Muse/Amosale on drug resistance. End goal is merging all three into a unified human proteome database with multiple property predictions per UniProt ID.</w:t>
      </w:r>
    </w:p>
    <w:p>
      <w:pPr>
        <w:spacing w:after="120" w:before="120" w:line="320"/>
      </w:pPr>
      <w:r>
        <w:rPr>
          <w:rFonts w:ascii="Calibri" w:cs="Calibri" w:eastAsia="Calibri" w:hAnsi="Calibri"/>
          <w:color w:val="1A1A1A"/>
          <w:sz w:val="22"/>
          <w:szCs w:val="22"/>
        </w:rPr>
        <w:t xml:space="preserve">Joseph presented Phase 1 + Phase 2 results at the Friday lab meeting on May 29, 2026. The handoff below covers everything that's been done plus the planned next steps Dr. Kilgore wants to pursue.</w:t>
      </w:r>
    </w:p>
    <w:p>
      <w:pPr>
        <w:pBdr>
          <w:bottom w:val="single" w:color="1A3A5C" w:sz="12" w:space="4"/>
        </w:pBdr>
        <w:spacing w:after="180" w:before="480"/>
      </w:pPr>
      <w:r>
        <w:rPr>
          <w:rFonts w:ascii="Arial" w:cs="Arial" w:eastAsia="Arial" w:hAnsi="Arial"/>
          <w:b/>
          <w:bCs/>
          <w:color w:val="1A3A5C"/>
          <w:sz w:val="32"/>
          <w:szCs w:val="32"/>
        </w:rPr>
        <w:t xml:space="preserve">Phase 1 — AlphaFold Structural Database (Completed)</w:t>
      </w:r>
    </w:p>
    <w:p>
      <w:pPr>
        <w:spacing w:after="80" w:before="240"/>
      </w:pPr>
      <w:r>
        <w:rPr>
          <w:rFonts w:ascii="Arial" w:cs="Arial" w:eastAsia="Arial" w:hAnsi="Arial"/>
          <w:b/>
          <w:bCs/>
          <w:color w:val="1A3A5C"/>
          <w:sz w:val="22"/>
          <w:szCs w:val="22"/>
        </w:rPr>
        <w:t xml:space="preserve">What it is</w:t>
      </w:r>
    </w:p>
    <w:p>
      <w:pPr>
        <w:spacing w:after="120" w:before="120" w:line="320"/>
      </w:pPr>
      <w:r>
        <w:rPr>
          <w:rFonts w:ascii="Calibri" w:cs="Calibri" w:eastAsia="Calibri" w:hAnsi="Calibri"/>
          <w:color w:val="1A1A1A"/>
          <w:sz w:val="22"/>
          <w:szCs w:val="22"/>
        </w:rPr>
        <w:t xml:space="preserve">A resumable Python pipeline that queries the AlphaFold EBI REST API for every reviewed human protein in UniProt and assembles a structural feature database.</w:t>
      </w:r>
    </w:p>
    <w:p>
      <w:pPr>
        <w:spacing w:after="80" w:before="240"/>
      </w:pPr>
      <w:r>
        <w:rPr>
          <w:rFonts w:ascii="Arial" w:cs="Arial" w:eastAsia="Arial" w:hAnsi="Arial"/>
          <w:b/>
          <w:bCs/>
          <w:color w:val="1A3A5C"/>
          <w:sz w:val="22"/>
          <w:szCs w:val="22"/>
        </w:rPr>
        <w:t xml:space="preserve">Numbers</w:t>
      </w:r>
    </w:p>
    <w:p>
      <w:pPr>
        <w:pStyle w:val="ListParagraph"/>
        <w:numPr>
          <w:ilvl w:val="0"/>
          <w:numId w:val="2"/>
        </w:numPr>
        <w:spacing w:after="60" w:before="60"/>
      </w:pPr>
      <w:r>
        <w:rPr>
          <w:rFonts w:ascii="Calibri" w:cs="Calibri" w:eastAsia="Calibri" w:hAnsi="Calibri"/>
          <w:b/>
          <w:bCs/>
          <w:color w:val="1A3A5C"/>
          <w:sz w:val="22"/>
          <w:szCs w:val="22"/>
        </w:rPr>
        <w:t xml:space="preserve">Total proteins queried: </w:t>
      </w:r>
      <w:r>
        <w:rPr>
          <w:rFonts w:ascii="Calibri" w:cs="Calibri" w:eastAsia="Calibri" w:hAnsi="Calibri"/>
          <w:color w:val="1A1A1A"/>
          <w:sz w:val="22"/>
          <w:szCs w:val="22"/>
        </w:rPr>
        <w:t xml:space="preserve">83,385 (full reviewed human proteome from UniProt)</w:t>
      </w:r>
    </w:p>
    <w:p>
      <w:pPr>
        <w:pStyle w:val="ListParagraph"/>
        <w:numPr>
          <w:ilvl w:val="0"/>
          <w:numId w:val="2"/>
        </w:numPr>
        <w:spacing w:after="60" w:before="60"/>
      </w:pPr>
      <w:r>
        <w:rPr>
          <w:rFonts w:ascii="Calibri" w:cs="Calibri" w:eastAsia="Calibri" w:hAnsi="Calibri"/>
          <w:b/>
          <w:bCs/>
          <w:color w:val="1A3A5C"/>
          <w:sz w:val="22"/>
          <w:szCs w:val="22"/>
        </w:rPr>
        <w:t xml:space="preserve">Proteins with AlphaFold models: </w:t>
      </w:r>
      <w:r>
        <w:rPr>
          <w:rFonts w:ascii="Calibri" w:cs="Calibri" w:eastAsia="Calibri" w:hAnsi="Calibri"/>
          <w:color w:val="1A1A1A"/>
          <w:sz w:val="22"/>
          <w:szCs w:val="22"/>
        </w:rPr>
        <w:t xml:space="preserve">72,658 (~87% coverage)</w:t>
      </w:r>
    </w:p>
    <w:p>
      <w:pPr>
        <w:pStyle w:val="ListParagraph"/>
        <w:numPr>
          <w:ilvl w:val="0"/>
          <w:numId w:val="2"/>
        </w:numPr>
        <w:spacing w:after="60" w:before="60"/>
      </w:pPr>
      <w:r>
        <w:rPr>
          <w:rFonts w:ascii="Calibri" w:cs="Calibri" w:eastAsia="Calibri" w:hAnsi="Calibri"/>
          <w:b/>
          <w:bCs/>
          <w:color w:val="1A3A5C"/>
          <w:sz w:val="22"/>
          <w:szCs w:val="22"/>
        </w:rPr>
        <w:t xml:space="preserve">Failed API requests: </w:t>
      </w:r>
      <w:r>
        <w:rPr>
          <w:rFonts w:ascii="Calibri" w:cs="Calibri" w:eastAsia="Calibri" w:hAnsi="Calibri"/>
          <w:color w:val="1A1A1A"/>
          <w:sz w:val="22"/>
          <w:szCs w:val="22"/>
        </w:rPr>
        <w:t xml:space="preserve">0</w:t>
      </w:r>
    </w:p>
    <w:p>
      <w:pPr>
        <w:pStyle w:val="ListParagraph"/>
        <w:numPr>
          <w:ilvl w:val="0"/>
          <w:numId w:val="2"/>
        </w:numPr>
        <w:spacing w:after="60" w:before="60"/>
      </w:pPr>
      <w:r>
        <w:rPr>
          <w:rFonts w:ascii="Calibri" w:cs="Calibri" w:eastAsia="Calibri" w:hAnsi="Calibri"/>
          <w:b/>
          <w:bCs/>
          <w:color w:val="1A3A5C"/>
          <w:sz w:val="22"/>
          <w:szCs w:val="22"/>
        </w:rPr>
        <w:t xml:space="preserve">Final file: </w:t>
      </w:r>
      <w:r>
        <w:rPr>
          <w:rFonts w:ascii="Calibri" w:cs="Calibri" w:eastAsia="Calibri" w:hAnsi="Calibri"/>
          <w:color w:val="1A1A1A"/>
          <w:sz w:val="22"/>
          <w:szCs w:val="22"/>
        </w:rPr>
        <w:t xml:space="preserve">human_proteome_alphafold.xlsx, 28 MB</w:t>
      </w:r>
    </w:p>
    <w:p>
      <w:pPr>
        <w:spacing w:after="80" w:before="240"/>
      </w:pPr>
      <w:r>
        <w:rPr>
          <w:rFonts w:ascii="Arial" w:cs="Arial" w:eastAsia="Arial" w:hAnsi="Arial"/>
          <w:b/>
          <w:bCs/>
          <w:color w:val="1A3A5C"/>
          <w:sz w:val="22"/>
          <w:szCs w:val="22"/>
        </w:rPr>
        <w:t xml:space="preserve">What's in the file</w:t>
      </w:r>
    </w:p>
    <w:p>
      <w:pPr>
        <w:pStyle w:val="ListParagraph"/>
        <w:numPr>
          <w:ilvl w:val="0"/>
          <w:numId w:val="2"/>
        </w:numPr>
        <w:spacing w:after="60" w:before="60"/>
      </w:pPr>
      <w:r>
        <w:rPr>
          <w:rFonts w:ascii="Calibri" w:cs="Calibri" w:eastAsia="Calibri" w:hAnsi="Calibri"/>
          <w:color w:val="1A1A1A"/>
          <w:sz w:val="22"/>
          <w:szCs w:val="22"/>
        </w:rPr>
        <w:t xml:space="preserve">Original 8 UniProt columns (uniprot_id, gene_symbol, sequence, length, etc.)</w:t>
      </w:r>
    </w:p>
    <w:p>
      <w:pPr>
        <w:pStyle w:val="ListParagraph"/>
        <w:numPr>
          <w:ilvl w:val="0"/>
          <w:numId w:val="2"/>
        </w:numPr>
        <w:spacing w:after="60" w:before="60"/>
      </w:pPr>
      <w:r>
        <w:rPr>
          <w:rFonts w:ascii="Calibri" w:cs="Calibri" w:eastAsia="Calibri" w:hAnsi="Calibri"/>
          <w:color w:val="1A1A1A"/>
          <w:sz w:val="22"/>
          <w:szCs w:val="22"/>
        </w:rPr>
        <w:t xml:space="preserve">viewer_url — link to AlphaFold web viewer</w:t>
      </w:r>
    </w:p>
    <w:p>
      <w:pPr>
        <w:pStyle w:val="ListParagraph"/>
        <w:numPr>
          <w:ilvl w:val="0"/>
          <w:numId w:val="2"/>
        </w:numPr>
        <w:spacing w:after="60" w:before="60"/>
      </w:pPr>
      <w:r>
        <w:rPr>
          <w:rFonts w:ascii="Calibri" w:cs="Calibri" w:eastAsia="Calibri" w:hAnsi="Calibri"/>
          <w:color w:val="1A1A1A"/>
          <w:sz w:val="22"/>
          <w:szCs w:val="22"/>
        </w:rPr>
        <w:t xml:space="preserve">structure_data — JSON blob per protein with pLDDT stats (mean, median, % at each confidence tier), PAE matrix summary, disorder region detection (≥20 consecutive residues with pLDDT &lt; 50), CIF and PAE download URLs</w:t>
      </w:r>
    </w:p>
    <w:p>
      <w:pPr>
        <w:spacing w:after="80" w:before="240"/>
      </w:pPr>
      <w:r>
        <w:rPr>
          <w:rFonts w:ascii="Arial" w:cs="Arial" w:eastAsia="Arial" w:hAnsi="Arial"/>
          <w:b/>
          <w:bCs/>
          <w:color w:val="1A3A5C"/>
          <w:sz w:val="22"/>
          <w:szCs w:val="22"/>
        </w:rPr>
        <w:t xml:space="preserve">Why URLs instead of raw CIF files</w:t>
      </w:r>
    </w:p>
    <w:p>
      <w:pPr>
        <w:spacing w:after="120" w:before="120" w:line="320"/>
      </w:pPr>
      <w:r>
        <w:rPr>
          <w:rFonts w:ascii="Calibri" w:cs="Calibri" w:eastAsia="Calibri" w:hAnsi="Calibri"/>
          <w:color w:val="1A1A1A"/>
          <w:sz w:val="22"/>
          <w:szCs w:val="22"/>
        </w:rPr>
        <w:t xml:space="preserve">Storing all CIF files would have been ~70 GB. Storing URLs in JSON keeps the file at 28 MB while preserving the ability to re-download on demand. This was a deliberate engineering choice.</w:t>
      </w:r>
    </w:p>
    <w:p>
      <w:pPr>
        <w:spacing w:after="80" w:before="240"/>
      </w:pPr>
      <w:r>
        <w:rPr>
          <w:rFonts w:ascii="Arial" w:cs="Arial" w:eastAsia="Arial" w:hAnsi="Arial"/>
          <w:b/>
          <w:bCs/>
          <w:color w:val="1A3A5C"/>
          <w:sz w:val="22"/>
          <w:szCs w:val="22"/>
        </w:rPr>
        <w:t xml:space="preserve">Script location</w:t>
      </w:r>
    </w:p>
    <w:p>
      <w:pPr>
        <w:spacing w:after="80" w:before="80"/>
        <w:ind w:left="360"/>
      </w:pPr>
      <w:r>
        <w:rPr>
          <w:rFonts w:ascii="Consolas" w:cs="Consolas" w:eastAsia="Consolas" w:hAnsi="Consolas"/>
          <w:color w:val="1A3A5C"/>
          <w:sz w:val="20"/>
          <w:szCs w:val="20"/>
        </w:rPr>
        <w:t xml:space="preserve">C:\Users\Joseph\alphafold_project\fetch_alphafold.py</w:t>
      </w:r>
    </w:p>
    <w:p>
      <w:pPr>
        <w:spacing w:after="120" w:before="120" w:line="320"/>
      </w:pPr>
      <w:r>
        <w:rPr>
          <w:rFonts w:ascii="Calibri" w:cs="Calibri" w:eastAsia="Calibri" w:hAnsi="Calibri"/>
          <w:color w:val="1A1A1A"/>
          <w:sz w:val="22"/>
          <w:szCs w:val="22"/>
        </w:rPr>
        <w:t xml:space="preserve">Resumable via checkpoint every 500 proteins. Used during this project to gather sequence and structural info but the structural features themselves weren't fed into the druggability classifier — that's potential future work.</w:t>
      </w:r>
    </w:p>
    <w:p>
      <w:pPr>
        <w:pBdr>
          <w:bottom w:val="single" w:color="1A3A5C" w:sz="12" w:space="4"/>
        </w:pBdr>
        <w:spacing w:after="180" w:before="480"/>
      </w:pPr>
      <w:r>
        <w:rPr>
          <w:rFonts w:ascii="Arial" w:cs="Arial" w:eastAsia="Arial" w:hAnsi="Arial"/>
          <w:b/>
          <w:bCs/>
          <w:color w:val="1A3A5C"/>
          <w:sz w:val="32"/>
          <w:szCs w:val="32"/>
        </w:rPr>
        <w:t xml:space="preserve">Phase 2 — ESM-2 Druggability Classifier (Completed)</w:t>
      </w:r>
    </w:p>
    <w:p>
      <w:pPr>
        <w:spacing w:after="120" w:before="300"/>
      </w:pPr>
      <w:r>
        <w:rPr>
          <w:rFonts w:ascii="Arial" w:cs="Arial" w:eastAsia="Arial" w:hAnsi="Arial"/>
          <w:b/>
          <w:bCs/>
          <w:color w:val="2E5D8F"/>
          <w:sz w:val="26"/>
          <w:szCs w:val="26"/>
        </w:rPr>
        <w:t xml:space="preserve">Step 1: Dataset Build</w:t>
      </w:r>
    </w:p>
    <w:p>
      <w:pPr>
        <w:spacing w:after="120" w:before="120" w:line="320"/>
      </w:pPr>
      <w:r>
        <w:rPr>
          <w:rFonts w:ascii="Calibri" w:cs="Calibri" w:eastAsia="Calibri" w:hAnsi="Calibri"/>
          <w:color w:val="1A1A1A"/>
          <w:sz w:val="22"/>
          <w:szCs w:val="22"/>
        </w:rPr>
        <w:t xml:space="preserve">Joseph built the labeled dataset himself in phase1_dataset.ipynb. Output: phase1_dataset.xlsx with 3,854 proteins total.</w:t>
      </w:r>
    </w:p>
    <w:p>
      <w:pPr>
        <w:spacing w:after="80" w:before="240"/>
      </w:pPr>
      <w:r>
        <w:rPr>
          <w:rFonts w:ascii="Arial" w:cs="Arial" w:eastAsia="Arial" w:hAnsi="Arial"/>
          <w:b/>
          <w:bCs/>
          <w:color w:val="1A3A5C"/>
          <w:sz w:val="22"/>
          <w:szCs w:val="22"/>
        </w:rPr>
        <w:t xml:space="preserve">Sources</w:t>
      </w:r>
    </w:p>
    <w:p>
      <w:pPr>
        <w:pStyle w:val="ListParagraph"/>
        <w:numPr>
          <w:ilvl w:val="0"/>
          <w:numId w:val="2"/>
        </w:numPr>
        <w:spacing w:after="60" w:before="60"/>
      </w:pPr>
      <w:r>
        <w:rPr>
          <w:rFonts w:ascii="Calibri" w:cs="Calibri" w:eastAsia="Calibri" w:hAnsi="Calibri"/>
          <w:color w:val="1A1A1A"/>
          <w:sz w:val="22"/>
          <w:szCs w:val="22"/>
        </w:rPr>
        <w:t xml:space="preserve">protein_class_FDA.tsv — 854 rows, 851 unique UniProt IDs, FDA-approved drug targets (Pharos-derived, Tclin equivalent)</w:t>
      </w:r>
    </w:p>
    <w:p>
      <w:pPr>
        <w:pStyle w:val="ListParagraph"/>
        <w:numPr>
          <w:ilvl w:val="0"/>
          <w:numId w:val="2"/>
        </w:numPr>
        <w:spacing w:after="60" w:before="60"/>
      </w:pPr>
      <w:r>
        <w:rPr>
          <w:rFonts w:ascii="Calibri" w:cs="Calibri" w:eastAsia="Calibri" w:hAnsi="Calibri"/>
          <w:color w:val="1A1A1A"/>
          <w:sz w:val="22"/>
          <w:szCs w:val="22"/>
        </w:rPr>
        <w:t xml:space="preserve">protein_class_potential.tsv — 1,757 UniProt IDs, potential drug targets (Pharos Tchem/Tbio equivalent)</w:t>
      </w:r>
    </w:p>
    <w:p>
      <w:pPr>
        <w:pStyle w:val="ListParagraph"/>
        <w:numPr>
          <w:ilvl w:val="0"/>
          <w:numId w:val="2"/>
        </w:numPr>
        <w:spacing w:after="60" w:before="60"/>
      </w:pPr>
      <w:r>
        <w:rPr>
          <w:rFonts w:ascii="Calibri" w:cs="Calibri" w:eastAsia="Calibri" w:hAnsi="Calibri"/>
          <w:color w:val="1A1A1A"/>
          <w:sz w:val="22"/>
          <w:szCs w:val="22"/>
        </w:rPr>
        <w:t xml:space="preserve">UniProt REST API — full reviewed human proteome, 20,431 proteins</w:t>
      </w:r>
    </w:p>
    <w:p>
      <w:pPr>
        <w:pStyle w:val="ListParagraph"/>
        <w:numPr>
          <w:ilvl w:val="0"/>
          <w:numId w:val="2"/>
        </w:numPr>
        <w:spacing w:after="60" w:before="60"/>
      </w:pPr>
      <w:r>
        <w:rPr>
          <w:rFonts w:ascii="Calibri" w:cs="Calibri" w:eastAsia="Calibri" w:hAnsi="Calibri"/>
          <w:color w:val="1A1A1A"/>
          <w:sz w:val="22"/>
          <w:szCs w:val="22"/>
        </w:rPr>
        <w:t xml:space="preserve">ChEMBL REST API — bioactivity check per protein</w:t>
      </w:r>
    </w:p>
    <w:p>
      <w:pPr>
        <w:spacing w:after="80" w:before="240"/>
      </w:pPr>
      <w:r>
        <w:rPr>
          <w:rFonts w:ascii="Arial" w:cs="Arial" w:eastAsia="Arial" w:hAnsi="Arial"/>
          <w:b/>
          <w:bCs/>
          <w:color w:val="1A3A5C"/>
          <w:sz w:val="22"/>
          <w:szCs w:val="22"/>
        </w:rPr>
        <w:t xml:space="preserve">Build steps</w:t>
      </w:r>
    </w:p>
    <w:p>
      <w:pPr>
        <w:pStyle w:val="ListParagraph"/>
        <w:numPr>
          <w:ilvl w:val="0"/>
          <w:numId w:val="2"/>
        </w:numPr>
        <w:spacing w:after="60" w:before="60"/>
      </w:pPr>
      <w:r>
        <w:rPr>
          <w:rFonts w:ascii="Calibri" w:cs="Calibri" w:eastAsia="Calibri" w:hAnsi="Calibri"/>
          <w:color w:val="1A1A1A"/>
          <w:sz w:val="22"/>
          <w:szCs w:val="22"/>
        </w:rPr>
        <w:t xml:space="preserve">Started with 851 FDA targets as initial positives</w:t>
      </w:r>
    </w:p>
    <w:p>
      <w:pPr>
        <w:pStyle w:val="ListParagraph"/>
        <w:numPr>
          <w:ilvl w:val="0"/>
          <w:numId w:val="2"/>
        </w:numPr>
        <w:spacing w:after="60" w:before="60"/>
      </w:pPr>
      <w:r>
        <w:rPr>
          <w:rFonts w:ascii="Calibri" w:cs="Calibri" w:eastAsia="Calibri" w:hAnsi="Calibri"/>
          <w:color w:val="1A1A1A"/>
          <w:sz w:val="22"/>
          <w:szCs w:val="22"/>
        </w:rPr>
        <w:t xml:space="preserve">Pulled 20,431 reviewed human proteins from UniProt</w:t>
      </w:r>
    </w:p>
    <w:p>
      <w:pPr>
        <w:pStyle w:val="ListParagraph"/>
        <w:numPr>
          <w:ilvl w:val="0"/>
          <w:numId w:val="2"/>
        </w:numPr>
        <w:spacing w:after="60" w:before="60"/>
      </w:pPr>
      <w:r>
        <w:rPr>
          <w:rFonts w:ascii="Calibri" w:cs="Calibri" w:eastAsia="Calibri" w:hAnsi="Calibri"/>
          <w:color w:val="1A1A1A"/>
          <w:sz w:val="22"/>
          <w:szCs w:val="22"/>
        </w:rPr>
        <w:t xml:space="preserve">Removed FDA targets and the 1,757 potential-targets list, leaving 17,827 candidate negatives</w:t>
      </w:r>
    </w:p>
    <w:p>
      <w:pPr>
        <w:pStyle w:val="ListParagraph"/>
        <w:numPr>
          <w:ilvl w:val="0"/>
          <w:numId w:val="2"/>
        </w:numPr>
        <w:spacing w:after="60" w:before="60"/>
      </w:pPr>
      <w:r>
        <w:rPr>
          <w:rFonts w:ascii="Calibri" w:cs="Calibri" w:eastAsia="Calibri" w:hAnsi="Calibri"/>
          <w:color w:val="1A1A1A"/>
          <w:sz w:val="22"/>
          <w:szCs w:val="22"/>
        </w:rPr>
        <w:t xml:space="preserve">Random-sampled 3,000 from those as negatives (seed 42)</w:t>
      </w:r>
    </w:p>
    <w:p>
      <w:pPr>
        <w:pStyle w:val="ListParagraph"/>
        <w:numPr>
          <w:ilvl w:val="0"/>
          <w:numId w:val="2"/>
        </w:numPr>
        <w:spacing w:after="60" w:before="60"/>
      </w:pPr>
      <w:r>
        <w:rPr>
          <w:rFonts w:ascii="Calibri" w:cs="Calibri" w:eastAsia="Calibri" w:hAnsi="Calibri"/>
          <w:color w:val="1A1A1A"/>
          <w:sz w:val="22"/>
          <w:szCs w:val="22"/>
        </w:rPr>
        <w:t xml:space="preserve">Retrieved sequences for all selected proteins</w:t>
      </w:r>
    </w:p>
    <w:p>
      <w:pPr>
        <w:pStyle w:val="ListParagraph"/>
        <w:numPr>
          <w:ilvl w:val="0"/>
          <w:numId w:val="2"/>
        </w:numPr>
        <w:spacing w:after="60" w:before="60"/>
      </w:pPr>
      <w:r>
        <w:rPr>
          <w:rFonts w:ascii="Calibri" w:cs="Calibri" w:eastAsia="Calibri" w:hAnsi="Calibri"/>
          <w:color w:val="1A1A1A"/>
          <w:sz w:val="22"/>
          <w:szCs w:val="22"/>
        </w:rPr>
        <w:t xml:space="preserve">Queried ChEMBL REST API for every protein with CHEMBL_CUTOFF_NM = 100</w:t>
      </w:r>
    </w:p>
    <w:p>
      <w:pPr>
        <w:pStyle w:val="ListParagraph"/>
        <w:numPr>
          <w:ilvl w:val="0"/>
          <w:numId w:val="2"/>
        </w:numPr>
        <w:spacing w:after="60" w:before="60"/>
      </w:pPr>
      <w:r>
        <w:rPr>
          <w:rFonts w:ascii="Calibri" w:cs="Calibri" w:eastAsia="Calibri" w:hAnsi="Calibri"/>
          <w:color w:val="1A1A1A"/>
          <w:sz w:val="22"/>
          <w:szCs w:val="22"/>
        </w:rPr>
        <w:t xml:space="preserve">Flagged ChEMBL_flag = 1 if any compound had IC50/Ki/Kd ≤ 100 nM on a single-protein target</w:t>
      </w:r>
    </w:p>
    <w:p>
      <w:pPr>
        <w:pStyle w:val="ListParagraph"/>
        <w:numPr>
          <w:ilvl w:val="0"/>
          <w:numId w:val="2"/>
        </w:numPr>
        <w:spacing w:after="60" w:before="60"/>
      </w:pPr>
      <w:r>
        <w:rPr>
          <w:rFonts w:ascii="Calibri" w:cs="Calibri" w:eastAsia="Calibri" w:hAnsi="Calibri"/>
          <w:color w:val="1A1A1A"/>
          <w:sz w:val="22"/>
          <w:szCs w:val="22"/>
        </w:rPr>
        <w:t xml:space="preserve">Final druggable label = FDA_flag OR ChEMBL_flag</w:t>
      </w:r>
    </w:p>
    <w:p>
      <w:pPr>
        <w:spacing w:after="80" w:before="240"/>
      </w:pPr>
      <w:r>
        <w:rPr>
          <w:rFonts w:ascii="Arial" w:cs="Arial" w:eastAsia="Arial" w:hAnsi="Arial"/>
          <w:b/>
          <w:bCs/>
          <w:color w:val="1A3A5C"/>
          <w:sz w:val="22"/>
          <w:szCs w:val="22"/>
        </w:rPr>
        <w:t xml:space="preserve">Final composition</w:t>
      </w:r>
    </w:p>
    <w:p>
      <w:pPr>
        <w:pStyle w:val="ListParagraph"/>
        <w:numPr>
          <w:ilvl w:val="0"/>
          <w:numId w:val="2"/>
        </w:numPr>
        <w:spacing w:after="60" w:before="60"/>
      </w:pPr>
      <w:r>
        <w:rPr>
          <w:rFonts w:ascii="Calibri" w:cs="Calibri" w:eastAsia="Calibri" w:hAnsi="Calibri"/>
          <w:b/>
          <w:bCs/>
          <w:color w:val="1A3A5C"/>
          <w:sz w:val="22"/>
          <w:szCs w:val="22"/>
        </w:rPr>
        <w:t xml:space="preserve">Total proteins: </w:t>
      </w:r>
      <w:r>
        <w:rPr>
          <w:rFonts w:ascii="Calibri" w:cs="Calibri" w:eastAsia="Calibri" w:hAnsi="Calibri"/>
          <w:color w:val="1A1A1A"/>
          <w:sz w:val="22"/>
          <w:szCs w:val="22"/>
        </w:rPr>
        <w:t xml:space="preserve">3,854 (one above prior reports of 3,853, minor ID cleanup)</w:t>
      </w:r>
    </w:p>
    <w:p>
      <w:pPr>
        <w:pStyle w:val="ListParagraph"/>
        <w:numPr>
          <w:ilvl w:val="0"/>
          <w:numId w:val="2"/>
        </w:numPr>
        <w:spacing w:after="60" w:before="60"/>
      </w:pPr>
      <w:r>
        <w:rPr>
          <w:rFonts w:ascii="Calibri" w:cs="Calibri" w:eastAsia="Calibri" w:hAnsi="Calibri"/>
          <w:b/>
          <w:bCs/>
          <w:color w:val="1A3A5C"/>
          <w:sz w:val="22"/>
          <w:szCs w:val="22"/>
        </w:rPr>
        <w:t xml:space="preserve">FDA + ChEMBL (strongest positives): </w:t>
      </w:r>
      <w:r>
        <w:rPr>
          <w:rFonts w:ascii="Calibri" w:cs="Calibri" w:eastAsia="Calibri" w:hAnsi="Calibri"/>
          <w:color w:val="1A1A1A"/>
          <w:sz w:val="22"/>
          <w:szCs w:val="22"/>
        </w:rPr>
        <w:t xml:space="preserve">519</w:t>
      </w:r>
    </w:p>
    <w:p>
      <w:pPr>
        <w:pStyle w:val="ListParagraph"/>
        <w:numPr>
          <w:ilvl w:val="0"/>
          <w:numId w:val="2"/>
        </w:numPr>
        <w:spacing w:after="60" w:before="60"/>
      </w:pPr>
      <w:r>
        <w:rPr>
          <w:rFonts w:ascii="Calibri" w:cs="Calibri" w:eastAsia="Calibri" w:hAnsi="Calibri"/>
          <w:b/>
          <w:bCs/>
          <w:color w:val="1A3A5C"/>
          <w:sz w:val="22"/>
          <w:szCs w:val="22"/>
        </w:rPr>
        <w:t xml:space="preserve">FDA only: </w:t>
      </w:r>
      <w:r>
        <w:rPr>
          <w:rFonts w:ascii="Calibri" w:cs="Calibri" w:eastAsia="Calibri" w:hAnsi="Calibri"/>
          <w:color w:val="1A1A1A"/>
          <w:sz w:val="22"/>
          <w:szCs w:val="22"/>
        </w:rPr>
        <w:t xml:space="preserve">334</w:t>
      </w:r>
    </w:p>
    <w:p>
      <w:pPr>
        <w:pStyle w:val="ListParagraph"/>
        <w:numPr>
          <w:ilvl w:val="0"/>
          <w:numId w:val="2"/>
        </w:numPr>
        <w:spacing w:after="60" w:before="60"/>
      </w:pPr>
      <w:r>
        <w:rPr>
          <w:rFonts w:ascii="Calibri" w:cs="Calibri" w:eastAsia="Calibri" w:hAnsi="Calibri"/>
          <w:b/>
          <w:bCs/>
          <w:color w:val="1A3A5C"/>
          <w:sz w:val="22"/>
          <w:szCs w:val="22"/>
        </w:rPr>
        <w:t xml:space="preserve">ChEMBL only: </w:t>
      </w:r>
      <w:r>
        <w:rPr>
          <w:rFonts w:ascii="Calibri" w:cs="Calibri" w:eastAsia="Calibri" w:hAnsi="Calibri"/>
          <w:color w:val="1A1A1A"/>
          <w:sz w:val="22"/>
          <w:szCs w:val="22"/>
        </w:rPr>
        <w:t xml:space="preserve">270</w:t>
      </w:r>
    </w:p>
    <w:p>
      <w:pPr>
        <w:pStyle w:val="ListParagraph"/>
        <w:numPr>
          <w:ilvl w:val="0"/>
          <w:numId w:val="2"/>
        </w:numPr>
        <w:spacing w:after="60" w:before="60"/>
      </w:pPr>
      <w:r>
        <w:rPr>
          <w:rFonts w:ascii="Calibri" w:cs="Calibri" w:eastAsia="Calibri" w:hAnsi="Calibri"/>
          <w:b/>
          <w:bCs/>
          <w:color w:val="1A3A5C"/>
          <w:sz w:val="22"/>
          <w:szCs w:val="22"/>
        </w:rPr>
        <w:t xml:space="preserve">Negatives: </w:t>
      </w:r>
      <w:r>
        <w:rPr>
          <w:rFonts w:ascii="Calibri" w:cs="Calibri" w:eastAsia="Calibri" w:hAnsi="Calibri"/>
          <w:color w:val="1A1A1A"/>
          <w:sz w:val="22"/>
          <w:szCs w:val="22"/>
        </w:rPr>
        <w:t xml:space="preserve">2,731</w:t>
      </w:r>
    </w:p>
    <w:p>
      <w:pPr>
        <w:pStyle w:val="ListParagraph"/>
        <w:numPr>
          <w:ilvl w:val="0"/>
          <w:numId w:val="2"/>
        </w:numPr>
        <w:spacing w:after="60" w:before="60"/>
      </w:pPr>
      <w:r>
        <w:rPr>
          <w:rFonts w:ascii="Calibri" w:cs="Calibri" w:eastAsia="Calibri" w:hAnsi="Calibri"/>
          <w:b/>
          <w:bCs/>
          <w:color w:val="1A3A5C"/>
          <w:sz w:val="22"/>
          <w:szCs w:val="22"/>
        </w:rPr>
        <w:t xml:space="preserve">Druggable total: </w:t>
      </w:r>
      <w:r>
        <w:rPr>
          <w:rFonts w:ascii="Calibri" w:cs="Calibri" w:eastAsia="Calibri" w:hAnsi="Calibri"/>
          <w:color w:val="1A1A1A"/>
          <w:sz w:val="22"/>
          <w:szCs w:val="22"/>
        </w:rPr>
        <w:t xml:space="preserve">1,123</w:t>
      </w:r>
    </w:p>
    <w:p>
      <w:pPr>
        <w:pStyle w:val="ListParagraph"/>
        <w:numPr>
          <w:ilvl w:val="0"/>
          <w:numId w:val="2"/>
        </w:numPr>
        <w:spacing w:after="60" w:before="60"/>
      </w:pPr>
      <w:r>
        <w:rPr>
          <w:rFonts w:ascii="Calibri" w:cs="Calibri" w:eastAsia="Calibri" w:hAnsi="Calibri"/>
          <w:b/>
          <w:bCs/>
          <w:color w:val="1A3A5C"/>
          <w:sz w:val="22"/>
          <w:szCs w:val="22"/>
        </w:rPr>
        <w:t xml:space="preserve">Class ratio: </w:t>
      </w:r>
      <w:r>
        <w:rPr>
          <w:rFonts w:ascii="Calibri" w:cs="Calibri" w:eastAsia="Calibri" w:hAnsi="Calibri"/>
          <w:color w:val="1A1A1A"/>
          <w:sz w:val="22"/>
          <w:szCs w:val="22"/>
        </w:rPr>
        <w:t xml:space="preserve">~29% positive / 71% negative</w:t>
      </w:r>
    </w:p>
    <w:p>
      <w:pPr>
        <w:spacing w:after="80" w:before="240"/>
      </w:pPr>
      <w:r>
        <w:rPr>
          <w:rFonts w:ascii="Arial" w:cs="Arial" w:eastAsia="Arial" w:hAnsi="Arial"/>
          <w:b/>
          <w:bCs/>
          <w:color w:val="1A3A5C"/>
          <w:sz w:val="22"/>
          <w:szCs w:val="22"/>
        </w:rPr>
        <w:t xml:space="preserve">Why exclude Pharos 'potential' targets from negatives</w:t>
      </w:r>
    </w:p>
    <w:p>
      <w:pPr>
        <w:spacing w:after="120" w:before="120" w:line="320"/>
      </w:pPr>
      <w:r>
        <w:rPr>
          <w:rFonts w:ascii="Calibri" w:cs="Calibri" w:eastAsia="Calibri" w:hAnsi="Calibri"/>
          <w:color w:val="1A1A1A"/>
          <w:sz w:val="22"/>
          <w:szCs w:val="22"/>
        </w:rPr>
        <w:t xml:space="preserve">Proteins with active drug development efforts but no approved drug yet are ambiguous. Labeling them 'undruggable' would inject label noise. Excluding them from the negative pool reduces mislabeling. The ChEMBL query in step 4 catches additional ones (the 270 'ChEMBL only' positives are essentially Pharos Tchem proteins picked up by binding data).</w:t>
      </w:r>
    </w:p>
    <w:p>
      <w:pPr>
        <w:spacing w:after="120" w:before="300"/>
      </w:pPr>
      <w:r>
        <w:rPr>
          <w:rFonts w:ascii="Arial" w:cs="Arial" w:eastAsia="Arial" w:hAnsi="Arial"/>
          <w:b/>
          <w:bCs/>
          <w:color w:val="2E5D8F"/>
          <w:sz w:val="26"/>
          <w:szCs w:val="26"/>
        </w:rPr>
        <w:t xml:space="preserve">Step 2: ESM-2 Embedding Pipeline</w:t>
      </w:r>
    </w:p>
    <w:p>
      <w:pPr>
        <w:spacing w:after="80" w:before="240"/>
      </w:pPr>
      <w:r>
        <w:rPr>
          <w:rFonts w:ascii="Arial" w:cs="Arial" w:eastAsia="Arial" w:hAnsi="Arial"/>
          <w:b/>
          <w:bCs/>
          <w:color w:val="1A3A5C"/>
          <w:sz w:val="22"/>
          <w:szCs w:val="22"/>
        </w:rPr>
        <w:t xml:space="preserve">Model</w:t>
      </w:r>
    </w:p>
    <w:p>
      <w:pPr>
        <w:pStyle w:val="ListParagraph"/>
        <w:numPr>
          <w:ilvl w:val="0"/>
          <w:numId w:val="2"/>
        </w:numPr>
        <w:spacing w:after="60" w:before="60"/>
      </w:pPr>
      <w:r>
        <w:rPr>
          <w:rFonts w:ascii="Calibri" w:cs="Calibri" w:eastAsia="Calibri" w:hAnsi="Calibri"/>
          <w:b/>
          <w:bCs/>
          <w:color w:val="1A3A5C"/>
          <w:sz w:val="22"/>
          <w:szCs w:val="22"/>
        </w:rPr>
        <w:t xml:space="preserve">Variant: </w:t>
      </w:r>
      <w:r>
        <w:rPr>
          <w:rFonts w:ascii="Calibri" w:cs="Calibri" w:eastAsia="Calibri" w:hAnsi="Calibri"/>
          <w:color w:val="1A1A1A"/>
          <w:sz w:val="22"/>
          <w:szCs w:val="22"/>
        </w:rPr>
        <w:t xml:space="preserve">esm2_t6_8M_UR50D (smallest publicly released ESM-2)</w:t>
      </w:r>
    </w:p>
    <w:p>
      <w:pPr>
        <w:pStyle w:val="ListParagraph"/>
        <w:numPr>
          <w:ilvl w:val="0"/>
          <w:numId w:val="2"/>
        </w:numPr>
        <w:spacing w:after="60" w:before="60"/>
      </w:pPr>
      <w:r>
        <w:rPr>
          <w:rFonts w:ascii="Calibri" w:cs="Calibri" w:eastAsia="Calibri" w:hAnsi="Calibri"/>
          <w:b/>
          <w:bCs/>
          <w:color w:val="1A3A5C"/>
          <w:sz w:val="22"/>
          <w:szCs w:val="22"/>
        </w:rPr>
        <w:t xml:space="preserve">Layers: </w:t>
      </w:r>
      <w:r>
        <w:rPr>
          <w:rFonts w:ascii="Calibri" w:cs="Calibri" w:eastAsia="Calibri" w:hAnsi="Calibri"/>
          <w:color w:val="1A1A1A"/>
          <w:sz w:val="22"/>
          <w:szCs w:val="22"/>
        </w:rPr>
        <w:t xml:space="preserve">6 transformer layers</w:t>
      </w:r>
    </w:p>
    <w:p>
      <w:pPr>
        <w:pStyle w:val="ListParagraph"/>
        <w:numPr>
          <w:ilvl w:val="0"/>
          <w:numId w:val="2"/>
        </w:numPr>
        <w:spacing w:after="60" w:before="60"/>
      </w:pPr>
      <w:r>
        <w:rPr>
          <w:rFonts w:ascii="Calibri" w:cs="Calibri" w:eastAsia="Calibri" w:hAnsi="Calibri"/>
          <w:b/>
          <w:bCs/>
          <w:color w:val="1A3A5C"/>
          <w:sz w:val="22"/>
          <w:szCs w:val="22"/>
        </w:rPr>
        <w:t xml:space="preserve">Hidden dim: </w:t>
      </w:r>
      <w:r>
        <w:rPr>
          <w:rFonts w:ascii="Calibri" w:cs="Calibri" w:eastAsia="Calibri" w:hAnsi="Calibri"/>
          <w:color w:val="1A1A1A"/>
          <w:sz w:val="22"/>
          <w:szCs w:val="22"/>
        </w:rPr>
        <w:t xml:space="preserve">320</w:t>
      </w:r>
    </w:p>
    <w:p>
      <w:pPr>
        <w:pStyle w:val="ListParagraph"/>
        <w:numPr>
          <w:ilvl w:val="0"/>
          <w:numId w:val="2"/>
        </w:numPr>
        <w:spacing w:after="60" w:before="60"/>
      </w:pPr>
      <w:r>
        <w:rPr>
          <w:rFonts w:ascii="Calibri" w:cs="Calibri" w:eastAsia="Calibri" w:hAnsi="Calibri"/>
          <w:b/>
          <w:bCs/>
          <w:color w:val="1A3A5C"/>
          <w:sz w:val="22"/>
          <w:szCs w:val="22"/>
        </w:rPr>
        <w:t xml:space="preserve">Parameters: </w:t>
      </w:r>
      <w:r>
        <w:rPr>
          <w:rFonts w:ascii="Calibri" w:cs="Calibri" w:eastAsia="Calibri" w:hAnsi="Calibri"/>
          <w:color w:val="1A1A1A"/>
          <w:sz w:val="22"/>
          <w:szCs w:val="22"/>
        </w:rPr>
        <w:t xml:space="preserve">8 million</w:t>
      </w:r>
    </w:p>
    <w:p>
      <w:pPr>
        <w:pStyle w:val="ListParagraph"/>
        <w:numPr>
          <w:ilvl w:val="0"/>
          <w:numId w:val="2"/>
        </w:numPr>
        <w:spacing w:after="60" w:before="60"/>
      </w:pPr>
      <w:r>
        <w:rPr>
          <w:rFonts w:ascii="Calibri" w:cs="Calibri" w:eastAsia="Calibri" w:hAnsi="Calibri"/>
          <w:b/>
          <w:bCs/>
          <w:color w:val="1A3A5C"/>
          <w:sz w:val="22"/>
          <w:szCs w:val="22"/>
        </w:rPr>
        <w:t xml:space="preserve">Hardware: </w:t>
      </w:r>
      <w:r>
        <w:rPr>
          <w:rFonts w:ascii="Calibri" w:cs="Calibri" w:eastAsia="Calibri" w:hAnsi="Calibri"/>
          <w:color w:val="1A1A1A"/>
          <w:sz w:val="22"/>
          <w:szCs w:val="22"/>
        </w:rPr>
        <w:t xml:space="preserve">CPU only (Intel Iris Xe is not CUDA, no GPU available)</w:t>
      </w:r>
    </w:p>
    <w:p>
      <w:pPr>
        <w:spacing w:after="80" w:before="240"/>
      </w:pPr>
      <w:r>
        <w:rPr>
          <w:rFonts w:ascii="Arial" w:cs="Arial" w:eastAsia="Arial" w:hAnsi="Arial"/>
          <w:b/>
          <w:bCs/>
          <w:color w:val="1A3A5C"/>
          <w:sz w:val="22"/>
          <w:szCs w:val="22"/>
        </w:rPr>
        <w:t xml:space="preserve">Pipeline</w:t>
      </w:r>
    </w:p>
    <w:p>
      <w:pPr>
        <w:pStyle w:val="ListParagraph"/>
        <w:numPr>
          <w:ilvl w:val="0"/>
          <w:numId w:val="2"/>
        </w:numPr>
        <w:spacing w:after="60" w:before="60"/>
      </w:pPr>
      <w:r>
        <w:rPr>
          <w:rFonts w:ascii="Calibri" w:cs="Calibri" w:eastAsia="Calibri" w:hAnsi="Calibri"/>
          <w:color w:val="1A1A1A"/>
          <w:sz w:val="22"/>
          <w:szCs w:val="22"/>
        </w:rPr>
        <w:t xml:space="preserve">For each protein, ran the full sequence through ESM-2</w:t>
      </w:r>
    </w:p>
    <w:p>
      <w:pPr>
        <w:pStyle w:val="ListParagraph"/>
        <w:numPr>
          <w:ilvl w:val="0"/>
          <w:numId w:val="2"/>
        </w:numPr>
        <w:spacing w:after="60" w:before="60"/>
      </w:pPr>
      <w:r>
        <w:rPr>
          <w:rFonts w:ascii="Calibri" w:cs="Calibri" w:eastAsia="Calibri" w:hAnsi="Calibri"/>
          <w:color w:val="1A1A1A"/>
          <w:sz w:val="22"/>
          <w:szCs w:val="22"/>
        </w:rPr>
        <w:t xml:space="preserve">For sequences over 1,022 residues (ESM-2's hard limit), used sliding window: 1,022 residue window, 256 residue overlap, averaged per-residue embeddings across overlapping windows</w:t>
      </w:r>
    </w:p>
    <w:p>
      <w:pPr>
        <w:pStyle w:val="ListParagraph"/>
        <w:numPr>
          <w:ilvl w:val="0"/>
          <w:numId w:val="2"/>
        </w:numPr>
        <w:spacing w:after="60" w:before="60"/>
      </w:pPr>
      <w:r>
        <w:rPr>
          <w:rFonts w:ascii="Calibri" w:cs="Calibri" w:eastAsia="Calibri" w:hAnsi="Calibri"/>
          <w:color w:val="1A1A1A"/>
          <w:sz w:val="22"/>
          <w:szCs w:val="22"/>
        </w:rPr>
        <w:t xml:space="preserve">Mean-pooled per-residue embeddings to produce one 320-dim vector per protein per layer</w:t>
      </w:r>
    </w:p>
    <w:p>
      <w:pPr>
        <w:pStyle w:val="ListParagraph"/>
        <w:numPr>
          <w:ilvl w:val="0"/>
          <w:numId w:val="2"/>
        </w:numPr>
        <w:spacing w:after="60" w:before="60"/>
      </w:pPr>
      <w:r>
        <w:rPr>
          <w:rFonts w:ascii="Calibri" w:cs="Calibri" w:eastAsia="Calibri" w:hAnsi="Calibri"/>
          <w:color w:val="1A1A1A"/>
          <w:sz w:val="22"/>
          <w:szCs w:val="22"/>
        </w:rPr>
        <w:t xml:space="preserve">Extracted from ALL 6 layers, not just one</w:t>
      </w:r>
    </w:p>
    <w:p>
      <w:pPr>
        <w:pStyle w:val="ListParagraph"/>
        <w:numPr>
          <w:ilvl w:val="0"/>
          <w:numId w:val="2"/>
        </w:numPr>
        <w:spacing w:after="60" w:before="60"/>
      </w:pPr>
      <w:r>
        <w:rPr>
          <w:rFonts w:ascii="Calibri" w:cs="Calibri" w:eastAsia="Calibri" w:hAnsi="Calibri"/>
          <w:color w:val="1A1A1A"/>
          <w:sz w:val="22"/>
          <w:szCs w:val="22"/>
        </w:rPr>
        <w:t xml:space="preserve">Runtime: ~30 minutes on CPU for 3,854 proteins</w:t>
      </w:r>
    </w:p>
    <w:p>
      <w:pPr>
        <w:pStyle w:val="ListParagraph"/>
        <w:numPr>
          <w:ilvl w:val="0"/>
          <w:numId w:val="2"/>
        </w:numPr>
        <w:spacing w:after="60" w:before="60"/>
      </w:pPr>
      <w:r>
        <w:rPr>
          <w:rFonts w:ascii="Calibri" w:cs="Calibri" w:eastAsia="Calibri" w:hAnsi="Calibri"/>
          <w:color w:val="1A1A1A"/>
          <w:sz w:val="22"/>
          <w:szCs w:val="22"/>
        </w:rPr>
        <w:t xml:space="preserve">Output: phase1_dataset_with_embeddings.json (~80 MB) — labels + 6 layer embeddings per protein</w:t>
      </w:r>
    </w:p>
    <w:p>
      <w:pPr>
        <w:spacing w:after="120" w:before="300"/>
      </w:pPr>
      <w:r>
        <w:rPr>
          <w:rFonts w:ascii="Arial" w:cs="Arial" w:eastAsia="Arial" w:hAnsi="Arial"/>
          <w:b/>
          <w:bCs/>
          <w:color w:val="2E5D8F"/>
          <w:sz w:val="26"/>
          <w:szCs w:val="26"/>
        </w:rPr>
        <w:t xml:space="preserve">Step 3: Layer Analysis (Linear Probes + UMAP)</w:t>
      </w:r>
    </w:p>
    <w:p>
      <w:pPr>
        <w:spacing w:after="80" w:before="240"/>
      </w:pPr>
      <w:r>
        <w:rPr>
          <w:rFonts w:ascii="Arial" w:cs="Arial" w:eastAsia="Arial" w:hAnsi="Arial"/>
          <w:b/>
          <w:bCs/>
          <w:color w:val="1A3A5C"/>
          <w:sz w:val="22"/>
          <w:szCs w:val="22"/>
        </w:rPr>
        <w:t xml:space="preserve">Linear probe AUCs (5-fold CV logistic regression, per layer)</w:t>
      </w:r>
    </w:p>
    <w:p>
      <w:pPr>
        <w:pStyle w:val="ListParagraph"/>
        <w:numPr>
          <w:ilvl w:val="0"/>
          <w:numId w:val="2"/>
        </w:numPr>
        <w:spacing w:after="60" w:before="60"/>
      </w:pPr>
      <w:r>
        <w:rPr>
          <w:rFonts w:ascii="Calibri" w:cs="Calibri" w:eastAsia="Calibri" w:hAnsi="Calibri"/>
          <w:color w:val="1A1A1A"/>
          <w:sz w:val="22"/>
          <w:szCs w:val="22"/>
        </w:rPr>
        <w:t xml:space="preserve">Layer 1: 0.775</w:t>
      </w:r>
    </w:p>
    <w:p>
      <w:pPr>
        <w:pStyle w:val="ListParagraph"/>
        <w:numPr>
          <w:ilvl w:val="0"/>
          <w:numId w:val="2"/>
        </w:numPr>
        <w:spacing w:after="60" w:before="60"/>
      </w:pPr>
      <w:r>
        <w:rPr>
          <w:rFonts w:ascii="Calibri" w:cs="Calibri" w:eastAsia="Calibri" w:hAnsi="Calibri"/>
          <w:color w:val="1A1A1A"/>
          <w:sz w:val="22"/>
          <w:szCs w:val="22"/>
        </w:rPr>
        <w:t xml:space="preserve">Layer 2: 0.797</w:t>
      </w:r>
    </w:p>
    <w:p>
      <w:pPr>
        <w:pStyle w:val="ListParagraph"/>
        <w:numPr>
          <w:ilvl w:val="0"/>
          <w:numId w:val="2"/>
        </w:numPr>
        <w:spacing w:after="60" w:before="60"/>
      </w:pPr>
      <w:r>
        <w:rPr>
          <w:rFonts w:ascii="Calibri" w:cs="Calibri" w:eastAsia="Calibri" w:hAnsi="Calibri"/>
          <w:color w:val="1A1A1A"/>
          <w:sz w:val="22"/>
          <w:szCs w:val="22"/>
        </w:rPr>
        <w:t xml:space="preserve">Layer 3: 0.808</w:t>
      </w:r>
    </w:p>
    <w:p>
      <w:pPr>
        <w:pStyle w:val="ListParagraph"/>
        <w:numPr>
          <w:ilvl w:val="0"/>
          <w:numId w:val="2"/>
        </w:numPr>
        <w:spacing w:after="60" w:before="60"/>
      </w:pPr>
      <w:r>
        <w:rPr>
          <w:rFonts w:ascii="Calibri" w:cs="Calibri" w:eastAsia="Calibri" w:hAnsi="Calibri"/>
          <w:color w:val="1A1A1A"/>
          <w:sz w:val="22"/>
          <w:szCs w:val="22"/>
        </w:rPr>
        <w:t xml:space="preserve">Layer 4: 0.803</w:t>
      </w:r>
    </w:p>
    <w:p>
      <w:pPr>
        <w:pStyle w:val="ListParagraph"/>
        <w:numPr>
          <w:ilvl w:val="0"/>
          <w:numId w:val="2"/>
        </w:numPr>
        <w:spacing w:after="60" w:before="60"/>
      </w:pPr>
      <w:r>
        <w:rPr>
          <w:rFonts w:ascii="Calibri" w:cs="Calibri" w:eastAsia="Calibri" w:hAnsi="Calibri"/>
          <w:color w:val="1A1A1A"/>
          <w:sz w:val="22"/>
          <w:szCs w:val="22"/>
        </w:rPr>
        <w:t xml:space="preserve">Layer 5: 0.791</w:t>
      </w:r>
    </w:p>
    <w:p>
      <w:pPr>
        <w:pStyle w:val="ListParagraph"/>
        <w:numPr>
          <w:ilvl w:val="0"/>
          <w:numId w:val="2"/>
        </w:numPr>
        <w:spacing w:after="60" w:before="60"/>
      </w:pPr>
      <w:r>
        <w:rPr>
          <w:rFonts w:ascii="Calibri" w:cs="Calibri" w:eastAsia="Calibri" w:hAnsi="Calibri"/>
          <w:color w:val="1A1A1A"/>
          <w:sz w:val="22"/>
          <w:szCs w:val="22"/>
        </w:rPr>
        <w:t xml:space="preserve">Layer 6: 0.815 (selected)</w:t>
      </w:r>
    </w:p>
    <w:p>
      <w:pPr>
        <w:spacing w:after="80" w:before="240"/>
      </w:pPr>
      <w:r>
        <w:rPr>
          <w:rFonts w:ascii="Arial" w:cs="Arial" w:eastAsia="Arial" w:hAnsi="Arial"/>
          <w:b/>
          <w:bCs/>
          <w:color w:val="1A3A5C"/>
          <w:sz w:val="22"/>
          <w:szCs w:val="22"/>
        </w:rPr>
        <w:t xml:space="preserve">Sanity checks performed</w:t>
      </w:r>
    </w:p>
    <w:p>
      <w:pPr>
        <w:pStyle w:val="ListParagraph"/>
        <w:numPr>
          <w:ilvl w:val="0"/>
          <w:numId w:val="2"/>
        </w:numPr>
        <w:spacing w:after="60" w:before="60"/>
      </w:pPr>
      <w:r>
        <w:rPr>
          <w:rFonts w:ascii="Calibri" w:cs="Calibri" w:eastAsia="Calibri" w:hAnsi="Calibri"/>
          <w:color w:val="1A1A1A"/>
          <w:sz w:val="22"/>
          <w:szCs w:val="22"/>
        </w:rPr>
        <w:t xml:space="preserve">Length confounder: druggable median 480 residues vs non-druggable 377. Mann-Whitney p = 2.85e-29. Length-only baseline AUC: 0.615. Layer 6 beats baseline by 0.20 AUC.</w:t>
      </w:r>
    </w:p>
    <w:p>
      <w:pPr>
        <w:pStyle w:val="ListParagraph"/>
        <w:numPr>
          <w:ilvl w:val="0"/>
          <w:numId w:val="2"/>
        </w:numPr>
        <w:spacing w:after="60" w:before="60"/>
      </w:pPr>
      <w:r>
        <w:rPr>
          <w:rFonts w:ascii="Calibri" w:cs="Calibri" w:eastAsia="Calibri" w:hAnsi="Calibri"/>
          <w:color w:val="1A1A1A"/>
          <w:sz w:val="22"/>
          <w:szCs w:val="22"/>
        </w:rPr>
        <w:t xml:space="preserve">Classifier comparison: logistic 0.815, gradient boosting 0.816, MLP 0.792 — all within noise. Embeddings are linearly separable; added model complexity doesn't help.</w:t>
      </w:r>
    </w:p>
    <w:p>
      <w:pPr>
        <w:pStyle w:val="ListParagraph"/>
        <w:numPr>
          <w:ilvl w:val="0"/>
          <w:numId w:val="2"/>
        </w:numPr>
        <w:spacing w:after="60" w:before="60"/>
      </w:pPr>
      <w:r>
        <w:rPr>
          <w:rFonts w:ascii="Calibri" w:cs="Calibri" w:eastAsia="Calibri" w:hAnsi="Calibri"/>
          <w:color w:val="1A1A1A"/>
          <w:sz w:val="22"/>
          <w:szCs w:val="22"/>
        </w:rPr>
        <w:t xml:space="preserve">Cosine similarity matrix of mean embeddings: L3-L5 cluster &gt;0.95 (redundant middle band). L1 most distinct (0.62-0.76 with others). L6 distinct from middle band, characteristic of task specialization.</w:t>
      </w:r>
    </w:p>
    <w:p>
      <w:pPr>
        <w:pStyle w:val="ListParagraph"/>
        <w:numPr>
          <w:ilvl w:val="0"/>
          <w:numId w:val="2"/>
        </w:numPr>
        <w:spacing w:after="60" w:before="60"/>
      </w:pPr>
      <w:r>
        <w:rPr>
          <w:rFonts w:ascii="Calibri" w:cs="Calibri" w:eastAsia="Calibri" w:hAnsi="Calibri"/>
          <w:color w:val="1A1A1A"/>
          <w:sz w:val="22"/>
          <w:szCs w:val="22"/>
        </w:rPr>
        <w:t xml:space="preserve">Gene-family analysis: top 10 prefixes in druggable set are all known target families (CACN 26, GABR 16, HDAC 11, SLC1 11, CHRN 11, KCNJ 10, PRKC 9, ATP2 8, KCNA 8, SLC2 8). Family leakage flagged as the primary methodological caveat.</w:t>
      </w:r>
    </w:p>
    <w:p>
      <w:pPr>
        <w:spacing w:after="80" w:before="240"/>
      </w:pPr>
      <w:r>
        <w:rPr>
          <w:rFonts w:ascii="Arial" w:cs="Arial" w:eastAsia="Arial" w:hAnsi="Arial"/>
          <w:b/>
          <w:bCs/>
          <w:color w:val="1A3A5C"/>
          <w:sz w:val="22"/>
          <w:szCs w:val="22"/>
        </w:rPr>
        <w:t xml:space="preserve">UMAP visualization</w:t>
      </w:r>
    </w:p>
    <w:p>
      <w:pPr>
        <w:spacing w:after="120" w:before="120" w:line="320"/>
      </w:pPr>
      <w:r>
        <w:rPr>
          <w:rFonts w:ascii="Calibri" w:cs="Calibri" w:eastAsia="Calibri" w:hAnsi="Calibri"/>
          <w:color w:val="1A1A1A"/>
          <w:sz w:val="22"/>
          <w:szCs w:val="22"/>
        </w:rPr>
        <w:t xml:space="preserve">2x3 grid, one panel per layer, colored by binary druggability label. Layers 1-2 show diffuse mixing. Layer 6 shows clearest red (druggable) clustering. Complementary view to the linear probe quantitative findings.</w:t>
      </w:r>
    </w:p>
    <w:p>
      <w:pPr>
        <w:spacing w:after="120" w:before="300"/>
      </w:pPr>
      <w:r>
        <w:rPr>
          <w:rFonts w:ascii="Arial" w:cs="Arial" w:eastAsia="Arial" w:hAnsi="Arial"/>
          <w:b/>
          <w:bCs/>
          <w:color w:val="2E5D8F"/>
          <w:sz w:val="26"/>
          <w:szCs w:val="26"/>
        </w:rPr>
        <w:t xml:space="preserve">Files Produced</w:t>
      </w:r>
    </w:p>
    <w:p>
      <w:pPr>
        <w:pStyle w:val="ListParagraph"/>
        <w:numPr>
          <w:ilvl w:val="0"/>
          <w:numId w:val="2"/>
        </w:numPr>
        <w:spacing w:after="60" w:before="60"/>
      </w:pPr>
      <w:r>
        <w:rPr>
          <w:rFonts w:ascii="Calibri" w:cs="Calibri" w:eastAsia="Calibri" w:hAnsi="Calibri"/>
          <w:b/>
          <w:bCs/>
          <w:color w:val="1A3A5C"/>
          <w:sz w:val="22"/>
          <w:szCs w:val="22"/>
        </w:rPr>
        <w:t xml:space="preserve">phase1_dataset.ipynb: </w:t>
      </w:r>
      <w:r>
        <w:rPr>
          <w:rFonts w:ascii="Calibri" w:cs="Calibri" w:eastAsia="Calibri" w:hAnsi="Calibri"/>
          <w:color w:val="1A1A1A"/>
          <w:sz w:val="22"/>
          <w:szCs w:val="22"/>
        </w:rPr>
        <w:t xml:space="preserve">Dataset build notebook (C:\Users\Joseph\phase1_dataset.ipynb)</w:t>
      </w:r>
    </w:p>
    <w:p>
      <w:pPr>
        <w:pStyle w:val="ListParagraph"/>
        <w:numPr>
          <w:ilvl w:val="0"/>
          <w:numId w:val="2"/>
        </w:numPr>
        <w:spacing w:after="60" w:before="60"/>
      </w:pPr>
      <w:r>
        <w:rPr>
          <w:rFonts w:ascii="Calibri" w:cs="Calibri" w:eastAsia="Calibri" w:hAnsi="Calibri"/>
          <w:b/>
          <w:bCs/>
          <w:color w:val="1A3A5C"/>
          <w:sz w:val="22"/>
          <w:szCs w:val="22"/>
        </w:rPr>
        <w:t xml:space="preserve">phase1_dataset.xlsx: </w:t>
      </w:r>
      <w:r>
        <w:rPr>
          <w:rFonts w:ascii="Calibri" w:cs="Calibri" w:eastAsia="Calibri" w:hAnsi="Calibri"/>
          <w:color w:val="1A1A1A"/>
          <w:sz w:val="22"/>
          <w:szCs w:val="22"/>
        </w:rPr>
        <w:t xml:space="preserve">Labeled dataset, 3,854 rows</w:t>
      </w:r>
    </w:p>
    <w:p>
      <w:pPr>
        <w:pStyle w:val="ListParagraph"/>
        <w:numPr>
          <w:ilvl w:val="0"/>
          <w:numId w:val="2"/>
        </w:numPr>
        <w:spacing w:after="60" w:before="60"/>
      </w:pPr>
      <w:r>
        <w:rPr>
          <w:rFonts w:ascii="Calibri" w:cs="Calibri" w:eastAsia="Calibri" w:hAnsi="Calibri"/>
          <w:b/>
          <w:bCs/>
          <w:color w:val="1A3A5C"/>
          <w:sz w:val="22"/>
          <w:szCs w:val="22"/>
        </w:rPr>
        <w:t xml:space="preserve">phase1_dataset_with_embeddings.json: </w:t>
      </w:r>
      <w:r>
        <w:rPr>
          <w:rFonts w:ascii="Calibri" w:cs="Calibri" w:eastAsia="Calibri" w:hAnsi="Calibri"/>
          <w:color w:val="1A1A1A"/>
          <w:sz w:val="22"/>
          <w:szCs w:val="22"/>
        </w:rPr>
        <w:t xml:space="preserve">Labels + 6-layer ESM-2 embeddings (~80 MB) — input for next-phase fine-tuning</w:t>
      </w:r>
    </w:p>
    <w:p>
      <w:pPr>
        <w:pStyle w:val="ListParagraph"/>
        <w:numPr>
          <w:ilvl w:val="0"/>
          <w:numId w:val="2"/>
        </w:numPr>
        <w:spacing w:after="60" w:before="60"/>
      </w:pPr>
      <w:r>
        <w:rPr>
          <w:rFonts w:ascii="Calibri" w:cs="Calibri" w:eastAsia="Calibri" w:hAnsi="Calibri"/>
          <w:b/>
          <w:bCs/>
          <w:color w:val="1A3A5C"/>
          <w:sz w:val="22"/>
          <w:szCs w:val="22"/>
        </w:rPr>
        <w:t xml:space="preserve">ESM-2 notebook: </w:t>
      </w:r>
      <w:r>
        <w:rPr>
          <w:rFonts w:ascii="Calibri" w:cs="Calibri" w:eastAsia="Calibri" w:hAnsi="Calibri"/>
          <w:color w:val="1A1A1A"/>
          <w:sz w:val="22"/>
          <w:szCs w:val="22"/>
        </w:rPr>
        <w:t xml:space="preserve">C:\Users\Joseph\esm_druggability\ (Jupyter notebook with embedding + analysis cells)</w:t>
      </w:r>
    </w:p>
    <w:p>
      <w:pPr>
        <w:pStyle w:val="ListParagraph"/>
        <w:numPr>
          <w:ilvl w:val="0"/>
          <w:numId w:val="2"/>
        </w:numPr>
        <w:spacing w:after="60" w:before="60"/>
      </w:pPr>
      <w:r>
        <w:rPr>
          <w:rFonts w:ascii="Calibri" w:cs="Calibri" w:eastAsia="Calibri" w:hAnsi="Calibri"/>
          <w:b/>
          <w:bCs/>
          <w:color w:val="1A3A5C"/>
          <w:sz w:val="22"/>
          <w:szCs w:val="22"/>
        </w:rPr>
        <w:t xml:space="preserve">human_proteome_alphafold.xlsx: </w:t>
      </w:r>
      <w:r>
        <w:rPr>
          <w:rFonts w:ascii="Calibri" w:cs="Calibri" w:eastAsia="Calibri" w:hAnsi="Calibri"/>
          <w:color w:val="1A1A1A"/>
          <w:sz w:val="22"/>
          <w:szCs w:val="22"/>
        </w:rPr>
        <w:t xml:space="preserve">Phase 1 structural database (28 MB, separate project)</w:t>
      </w:r>
    </w:p>
    <w:p>
      <w:pPr>
        <w:pBdr>
          <w:bottom w:val="single" w:color="1A3A5C" w:sz="12" w:space="4"/>
        </w:pBdr>
        <w:spacing w:after="180" w:before="480"/>
      </w:pPr>
      <w:r>
        <w:rPr>
          <w:rFonts w:ascii="Arial" w:cs="Arial" w:eastAsia="Arial" w:hAnsi="Arial"/>
          <w:b/>
          <w:bCs/>
          <w:color w:val="1A3A5C"/>
          <w:sz w:val="32"/>
          <w:szCs w:val="32"/>
        </w:rPr>
        <w:t xml:space="preserve">Friday Presentation (Delivered May 29, 2026)</w:t>
      </w:r>
    </w:p>
    <w:p>
      <w:pPr>
        <w:spacing w:after="120" w:before="120" w:line="320"/>
      </w:pPr>
      <w:r>
        <w:rPr>
          <w:rFonts w:ascii="Calibri" w:cs="Calibri" w:eastAsia="Calibri" w:hAnsi="Calibri"/>
          <w:color w:val="1A1A1A"/>
          <w:sz w:val="22"/>
          <w:szCs w:val="22"/>
        </w:rPr>
        <w:t xml:space="preserve">11 slides under the group's Week_3_Presentation.pptx (slides 16-26 of the combined deck). Joseph presented for ~5 minutes during the lab meeting, alongside Sally/Cleo (aggregation, slides 1-15) and Harry/Muse/Amosale (drug resistance, slides 27-39).</w:t>
      </w:r>
    </w:p>
    <w:p>
      <w:pPr>
        <w:spacing w:after="80" w:before="240"/>
      </w:pPr>
      <w:r>
        <w:rPr>
          <w:rFonts w:ascii="Arial" w:cs="Arial" w:eastAsia="Arial" w:hAnsi="Arial"/>
          <w:b/>
          <w:bCs/>
          <w:color w:val="1A3A5C"/>
          <w:sz w:val="22"/>
          <w:szCs w:val="22"/>
        </w:rPr>
        <w:t xml:space="preserve">Slide structure</w:t>
      </w:r>
    </w:p>
    <w:p>
      <w:pPr>
        <w:pStyle w:val="ListParagraph"/>
        <w:numPr>
          <w:ilvl w:val="0"/>
          <w:numId w:val="2"/>
        </w:numPr>
        <w:spacing w:after="60" w:before="60"/>
      </w:pPr>
      <w:r>
        <w:rPr>
          <w:rFonts w:ascii="Calibri" w:cs="Calibri" w:eastAsia="Calibri" w:hAnsi="Calibri"/>
          <w:color w:val="1A1A1A"/>
          <w:sz w:val="22"/>
          <w:szCs w:val="22"/>
        </w:rPr>
        <w:t xml:space="preserve">16: Title slide</w:t>
      </w:r>
    </w:p>
    <w:p>
      <w:pPr>
        <w:pStyle w:val="ListParagraph"/>
        <w:numPr>
          <w:ilvl w:val="0"/>
          <w:numId w:val="2"/>
        </w:numPr>
        <w:spacing w:after="60" w:before="60"/>
      </w:pPr>
      <w:r>
        <w:rPr>
          <w:rFonts w:ascii="Calibri" w:cs="Calibri" w:eastAsia="Calibri" w:hAnsi="Calibri"/>
          <w:color w:val="1A1A1A"/>
          <w:sz w:val="22"/>
          <w:szCs w:val="22"/>
        </w:rPr>
        <w:t xml:space="preserve">17: BACKGROUND section divider</w:t>
      </w:r>
    </w:p>
    <w:p>
      <w:pPr>
        <w:pStyle w:val="ListParagraph"/>
        <w:numPr>
          <w:ilvl w:val="0"/>
          <w:numId w:val="2"/>
        </w:numPr>
        <w:spacing w:after="60" w:before="60"/>
      </w:pPr>
      <w:r>
        <w:rPr>
          <w:rFonts w:ascii="Calibri" w:cs="Calibri" w:eastAsia="Calibri" w:hAnsi="Calibri"/>
          <w:color w:val="1A1A1A"/>
          <w:sz w:val="22"/>
          <w:szCs w:val="22"/>
        </w:rPr>
        <w:t xml:space="preserve">18: Background bullets + PDB ribbon image</w:t>
      </w:r>
    </w:p>
    <w:p>
      <w:pPr>
        <w:pStyle w:val="ListParagraph"/>
        <w:numPr>
          <w:ilvl w:val="0"/>
          <w:numId w:val="2"/>
        </w:numPr>
        <w:spacing w:after="60" w:before="60"/>
      </w:pPr>
      <w:r>
        <w:rPr>
          <w:rFonts w:ascii="Calibri" w:cs="Calibri" w:eastAsia="Calibri" w:hAnsi="Calibri"/>
          <w:color w:val="1A1A1A"/>
          <w:sz w:val="22"/>
          <w:szCs w:val="22"/>
        </w:rPr>
        <w:t xml:space="preserve">19: GOAL section divider</w:t>
      </w:r>
    </w:p>
    <w:p>
      <w:pPr>
        <w:pStyle w:val="ListParagraph"/>
        <w:numPr>
          <w:ilvl w:val="0"/>
          <w:numId w:val="2"/>
        </w:numPr>
        <w:spacing w:after="60" w:before="60"/>
      </w:pPr>
      <w:r>
        <w:rPr>
          <w:rFonts w:ascii="Calibri" w:cs="Calibri" w:eastAsia="Calibri" w:hAnsi="Calibri"/>
          <w:color w:val="1A1A1A"/>
          <w:sz w:val="22"/>
          <w:szCs w:val="22"/>
        </w:rPr>
        <w:t xml:space="preserve">20: Goal + workflow diagram (custom graphic)</w:t>
      </w:r>
    </w:p>
    <w:p>
      <w:pPr>
        <w:pStyle w:val="ListParagraph"/>
        <w:numPr>
          <w:ilvl w:val="0"/>
          <w:numId w:val="2"/>
        </w:numPr>
        <w:spacing w:after="60" w:before="60"/>
      </w:pPr>
      <w:r>
        <w:rPr>
          <w:rFonts w:ascii="Calibri" w:cs="Calibri" w:eastAsia="Calibri" w:hAnsi="Calibri"/>
          <w:color w:val="1A1A1A"/>
          <w:sz w:val="22"/>
          <w:szCs w:val="22"/>
        </w:rPr>
        <w:t xml:space="preserve">21: RESULTS section divider</w:t>
      </w:r>
    </w:p>
    <w:p>
      <w:pPr>
        <w:pStyle w:val="ListParagraph"/>
        <w:numPr>
          <w:ilvl w:val="0"/>
          <w:numId w:val="2"/>
        </w:numPr>
        <w:spacing w:after="60" w:before="60"/>
      </w:pPr>
      <w:r>
        <w:rPr>
          <w:rFonts w:ascii="Calibri" w:cs="Calibri" w:eastAsia="Calibri" w:hAnsi="Calibri"/>
          <w:color w:val="1A1A1A"/>
          <w:sz w:val="22"/>
          <w:szCs w:val="22"/>
        </w:rPr>
        <w:t xml:space="preserve">22: Methodology + label-composition donut chart (custom)</w:t>
      </w:r>
    </w:p>
    <w:p>
      <w:pPr>
        <w:pStyle w:val="ListParagraph"/>
        <w:numPr>
          <w:ilvl w:val="0"/>
          <w:numId w:val="2"/>
        </w:numPr>
        <w:spacing w:after="60" w:before="60"/>
      </w:pPr>
      <w:r>
        <w:rPr>
          <w:rFonts w:ascii="Calibri" w:cs="Calibri" w:eastAsia="Calibri" w:hAnsi="Calibri"/>
          <w:color w:val="1A1A1A"/>
          <w:sz w:val="22"/>
          <w:szCs w:val="22"/>
        </w:rPr>
        <w:t xml:space="preserve">23: Data results + AUC bar chart 0.615 vs 0.815 (custom)</w:t>
      </w:r>
    </w:p>
    <w:p>
      <w:pPr>
        <w:pStyle w:val="ListParagraph"/>
        <w:numPr>
          <w:ilvl w:val="0"/>
          <w:numId w:val="2"/>
        </w:numPr>
        <w:spacing w:after="60" w:before="60"/>
      </w:pPr>
      <w:r>
        <w:rPr>
          <w:rFonts w:ascii="Calibri" w:cs="Calibri" w:eastAsia="Calibri" w:hAnsi="Calibri"/>
          <w:color w:val="1A1A1A"/>
          <w:sz w:val="22"/>
          <w:szCs w:val="22"/>
        </w:rPr>
        <w:t xml:space="preserve">24: UMAP figure (2x3 grid by layer)</w:t>
      </w:r>
    </w:p>
    <w:p>
      <w:pPr>
        <w:pStyle w:val="ListParagraph"/>
        <w:numPr>
          <w:ilvl w:val="0"/>
          <w:numId w:val="2"/>
        </w:numPr>
        <w:spacing w:after="60" w:before="60"/>
      </w:pPr>
      <w:r>
        <w:rPr>
          <w:rFonts w:ascii="Calibri" w:cs="Calibri" w:eastAsia="Calibri" w:hAnsi="Calibri"/>
          <w:color w:val="1A1A1A"/>
          <w:sz w:val="22"/>
          <w:szCs w:val="22"/>
        </w:rPr>
        <w:t xml:space="preserve">25: Layer redundancy + cosine similarity matrix (custom)</w:t>
      </w:r>
    </w:p>
    <w:p>
      <w:pPr>
        <w:pStyle w:val="ListParagraph"/>
        <w:numPr>
          <w:ilvl w:val="0"/>
          <w:numId w:val="2"/>
        </w:numPr>
        <w:spacing w:after="60" w:before="60"/>
      </w:pPr>
      <w:r>
        <w:rPr>
          <w:rFonts w:ascii="Calibri" w:cs="Calibri" w:eastAsia="Calibri" w:hAnsi="Calibri"/>
          <w:color w:val="1A1A1A"/>
          <w:sz w:val="22"/>
          <w:szCs w:val="22"/>
        </w:rPr>
        <w:t xml:space="preserve">26: Limitations + gene-family bar chart (custom)</w:t>
      </w:r>
    </w:p>
    <w:p>
      <w:pPr>
        <w:spacing w:after="80" w:before="240"/>
      </w:pPr>
      <w:r>
        <w:rPr>
          <w:rFonts w:ascii="Arial" w:cs="Arial" w:eastAsia="Arial" w:hAnsi="Arial"/>
          <w:b/>
          <w:bCs/>
          <w:color w:val="1A3A5C"/>
          <w:sz w:val="22"/>
          <w:szCs w:val="22"/>
        </w:rPr>
        <w:t xml:space="preserve">Custom graphics produced (all in style-matched blue palette)</w:t>
      </w:r>
    </w:p>
    <w:p>
      <w:pPr>
        <w:pStyle w:val="ListParagraph"/>
        <w:numPr>
          <w:ilvl w:val="0"/>
          <w:numId w:val="2"/>
        </w:numPr>
        <w:spacing w:after="60" w:before="60"/>
      </w:pPr>
      <w:r>
        <w:rPr>
          <w:rFonts w:ascii="Calibri" w:cs="Calibri" w:eastAsia="Calibri" w:hAnsi="Calibri"/>
          <w:color w:val="1A1A1A"/>
          <w:sz w:val="22"/>
          <w:szCs w:val="22"/>
        </w:rPr>
        <w:t xml:space="preserve">workflow_diagram.png — 5-box pipeline</w:t>
      </w:r>
    </w:p>
    <w:p>
      <w:pPr>
        <w:pStyle w:val="ListParagraph"/>
        <w:numPr>
          <w:ilvl w:val="0"/>
          <w:numId w:val="2"/>
        </w:numPr>
        <w:spacing w:after="60" w:before="60"/>
      </w:pPr>
      <w:r>
        <w:rPr>
          <w:rFonts w:ascii="Calibri" w:cs="Calibri" w:eastAsia="Calibri" w:hAnsi="Calibri"/>
          <w:color w:val="1A1A1A"/>
          <w:sz w:val="22"/>
          <w:szCs w:val="22"/>
        </w:rPr>
        <w:t xml:space="preserve">label_composition_donut.png — dataset composition</w:t>
      </w:r>
    </w:p>
    <w:p>
      <w:pPr>
        <w:pStyle w:val="ListParagraph"/>
        <w:numPr>
          <w:ilvl w:val="0"/>
          <w:numId w:val="2"/>
        </w:numPr>
        <w:spacing w:after="60" w:before="60"/>
      </w:pPr>
      <w:r>
        <w:rPr>
          <w:rFonts w:ascii="Calibri" w:cs="Calibri" w:eastAsia="Calibri" w:hAnsi="Calibri"/>
          <w:color w:val="1A1A1A"/>
          <w:sz w:val="22"/>
          <w:szCs w:val="22"/>
        </w:rPr>
        <w:t xml:space="preserve">auc_bar_chart.png — length baseline vs layer 6 AUC</w:t>
      </w:r>
    </w:p>
    <w:p>
      <w:pPr>
        <w:pStyle w:val="ListParagraph"/>
        <w:numPr>
          <w:ilvl w:val="0"/>
          <w:numId w:val="2"/>
        </w:numPr>
        <w:spacing w:after="60" w:before="60"/>
      </w:pPr>
      <w:r>
        <w:rPr>
          <w:rFonts w:ascii="Calibri" w:cs="Calibri" w:eastAsia="Calibri" w:hAnsi="Calibri"/>
          <w:color w:val="1A1A1A"/>
          <w:sz w:val="22"/>
          <w:szCs w:val="22"/>
        </w:rPr>
        <w:t xml:space="preserve">cosine_similarity_matrix.png — 6x6 layer heatmap</w:t>
      </w:r>
    </w:p>
    <w:p>
      <w:pPr>
        <w:pStyle w:val="ListParagraph"/>
        <w:numPr>
          <w:ilvl w:val="0"/>
          <w:numId w:val="2"/>
        </w:numPr>
        <w:spacing w:after="60" w:before="60"/>
      </w:pPr>
      <w:r>
        <w:rPr>
          <w:rFonts w:ascii="Calibri" w:cs="Calibri" w:eastAsia="Calibri" w:hAnsi="Calibri"/>
          <w:color w:val="1A1A1A"/>
          <w:sz w:val="22"/>
          <w:szCs w:val="22"/>
        </w:rPr>
        <w:t xml:space="preserve">family_leakage_bars.png — top 10 gene prefixes</w:t>
      </w:r>
    </w:p>
    <w:p>
      <w:pPr>
        <w:pBdr>
          <w:bottom w:val="single" w:color="1A3A5C" w:sz="12" w:space="4"/>
        </w:pBdr>
        <w:spacing w:after="180" w:before="480"/>
      </w:pPr>
      <w:r>
        <w:rPr>
          <w:rFonts w:ascii="Arial" w:cs="Arial" w:eastAsia="Arial" w:hAnsi="Arial"/>
          <w:b/>
          <w:bCs/>
          <w:color w:val="1A3A5C"/>
          <w:sz w:val="32"/>
          <w:szCs w:val="32"/>
        </w:rPr>
        <w:t xml:space="preserve">Comparison With Other Groups</w:t>
      </w:r>
    </w:p>
    <w:p>
      <w:pPr>
        <w:spacing w:after="80" w:before="240"/>
      </w:pPr>
      <w:r>
        <w:rPr>
          <w:rFonts w:ascii="Arial" w:cs="Arial" w:eastAsia="Arial" w:hAnsi="Arial"/>
          <w:b/>
          <w:bCs/>
          <w:color w:val="1A3A5C"/>
          <w:sz w:val="22"/>
          <w:szCs w:val="22"/>
        </w:rPr>
        <w:t xml:space="preserve">Aggregation (Sally and Cleo)</w:t>
      </w:r>
    </w:p>
    <w:p>
      <w:pPr>
        <w:spacing w:after="120" w:before="120" w:line="320"/>
      </w:pPr>
      <w:r>
        <w:rPr>
          <w:rFonts w:ascii="Calibri" w:cs="Calibri" w:eastAsia="Calibri" w:hAnsi="Calibri"/>
          <w:color w:val="1A1A1A"/>
          <w:sz w:val="22"/>
          <w:szCs w:val="22"/>
        </w:rPr>
        <w:t xml:space="preserve">Used AGGRESCAN3D (existing scoring algorithm) to score all 83,383 human proteins, bucketed into three risk tiers (High 16.1%, Medium 49.5%, Low 34.4%). Did not train or evaluate a classifier — applied an existing unsupervised tool. Note: their slide 14 claims layer 5 of a 480-dim model, suggesting they used a larger ESM-2 variant (esm2_t12_35M_UR50D) than Joseph did.</w:t>
      </w:r>
    </w:p>
    <w:p>
      <w:pPr>
        <w:spacing w:after="80" w:before="240"/>
      </w:pPr>
      <w:r>
        <w:rPr>
          <w:rFonts w:ascii="Arial" w:cs="Arial" w:eastAsia="Arial" w:hAnsi="Arial"/>
          <w:b/>
          <w:bCs/>
          <w:color w:val="1A3A5C"/>
          <w:sz w:val="22"/>
          <w:szCs w:val="22"/>
        </w:rPr>
        <w:t xml:space="preserve">Drug resistance (Harry, Muse, Amosale)</w:t>
      </w:r>
    </w:p>
    <w:p>
      <w:pPr>
        <w:spacing w:after="120" w:before="120" w:line="320"/>
      </w:pPr>
      <w:r>
        <w:rPr>
          <w:rFonts w:ascii="Calibri" w:cs="Calibri" w:eastAsia="Calibri" w:hAnsi="Calibri"/>
          <w:color w:val="1A1A1A"/>
          <w:sz w:val="22"/>
          <w:szCs w:val="22"/>
        </w:rPr>
        <w:t xml:space="preserve">Built a labeled dataset of 290 entries from MDRDB using DDG.EXP z-score ≥ 1.36 as resistance threshold. Dataset-only — no embeddings, no classifier, no results. They are roughly at the equivalent of Joseph's Phase 2 Step 1.</w:t>
      </w:r>
    </w:p>
    <w:p>
      <w:pPr>
        <w:spacing w:after="80" w:before="240"/>
      </w:pPr>
      <w:r>
        <w:rPr>
          <w:rFonts w:ascii="Arial" w:cs="Arial" w:eastAsia="Arial" w:hAnsi="Arial"/>
          <w:b/>
          <w:bCs/>
          <w:color w:val="1A3A5C"/>
          <w:sz w:val="22"/>
          <w:szCs w:val="22"/>
        </w:rPr>
        <w:t xml:space="preserve">Joseph's relative position</w:t>
      </w:r>
    </w:p>
    <w:p>
      <w:pPr>
        <w:spacing w:after="120" w:before="120" w:line="320"/>
      </w:pPr>
      <w:r>
        <w:rPr>
          <w:rFonts w:ascii="Calibri" w:cs="Calibri" w:eastAsia="Calibri" w:hAnsi="Calibri"/>
          <w:color w:val="1A1A1A"/>
          <w:sz w:val="22"/>
          <w:szCs w:val="22"/>
        </w:rPr>
        <w:t xml:space="preserve">The only group with a trained AND evaluated classifier, quantitative model performance, sanity checks, and an explicit limitations slide. Methodologically the most complete project of the three, even though the dataset is smaller than the aggregation group's screening run.</w:t>
      </w:r>
    </w:p>
    <w:p>
      <w:pPr>
        <w:pBdr>
          <w:bottom w:val="single" w:color="1A3A5C" w:sz="12" w:space="4"/>
        </w:pBdr>
        <w:spacing w:after="180" w:before="480"/>
      </w:pPr>
      <w:r>
        <w:rPr>
          <w:rFonts w:ascii="Arial" w:cs="Arial" w:eastAsia="Arial" w:hAnsi="Arial"/>
          <w:b/>
          <w:bCs/>
          <w:color w:val="1A3A5C"/>
          <w:sz w:val="32"/>
          <w:szCs w:val="32"/>
        </w:rPr>
        <w:t xml:space="preserve">Supervisor's Fine-Tuning Pipeline (Pending)</w:t>
      </w:r>
    </w:p>
    <w:p>
      <w:pPr>
        <w:spacing w:after="120" w:before="120" w:line="320"/>
      </w:pPr>
      <w:r>
        <w:rPr>
          <w:rFonts w:ascii="Calibri" w:cs="Calibri" w:eastAsia="Calibri" w:hAnsi="Calibri"/>
          <w:color w:val="1A1A1A"/>
          <w:sz w:val="22"/>
          <w:szCs w:val="22"/>
        </w:rPr>
        <w:t xml:space="preserve">During the presentation week, Dr. Kilgore sent two versions of an ESM-C fine-tuning pipeline:</w:t>
      </w:r>
    </w:p>
    <w:p>
      <w:pPr>
        <w:pStyle w:val="ListParagraph"/>
        <w:numPr>
          <w:ilvl w:val="0"/>
          <w:numId w:val="2"/>
        </w:numPr>
        <w:spacing w:after="60" w:before="60"/>
      </w:pPr>
      <w:r>
        <w:rPr>
          <w:rFonts w:ascii="Calibri" w:cs="Calibri" w:eastAsia="Calibri" w:hAnsi="Calibri"/>
          <w:color w:val="1A1A1A"/>
          <w:sz w:val="22"/>
          <w:szCs w:val="22"/>
        </w:rPr>
        <w:t xml:space="preserve">First version: esmc_finetune.ipynb — Jupyter notebook using HuggingFace tokenizer. Had portability issues outside their environment.</w:t>
      </w:r>
    </w:p>
    <w:p>
      <w:pPr>
        <w:pStyle w:val="ListParagraph"/>
        <w:numPr>
          <w:ilvl w:val="0"/>
          <w:numId w:val="2"/>
        </w:numPr>
        <w:spacing w:after="60" w:before="60"/>
      </w:pPr>
      <w:r>
        <w:rPr>
          <w:rFonts w:ascii="Calibri" w:cs="Calibri" w:eastAsia="Calibri" w:hAnsi="Calibri"/>
          <w:color w:val="1A1A1A"/>
          <w:sz w:val="22"/>
          <w:szCs w:val="22"/>
        </w:rPr>
        <w:t xml:space="preserve">Second version: fine-tuning.py — standalone Python script using Meta's native esm package and EsmSequenceTokenizer. First half only (data loading + tokenization + forward pass test). No training loop yet.</w:t>
      </w:r>
    </w:p>
    <w:p>
      <w:pPr>
        <w:spacing w:after="80" w:before="240"/>
      </w:pPr>
      <w:r>
        <w:rPr>
          <w:rFonts w:ascii="Arial" w:cs="Arial" w:eastAsia="Arial" w:hAnsi="Arial"/>
          <w:b/>
          <w:bCs/>
          <w:color w:val="1A3A5C"/>
          <w:sz w:val="22"/>
          <w:szCs w:val="22"/>
        </w:rPr>
        <w:t xml:space="preserve">Key details of the pipeline</w:t>
      </w:r>
    </w:p>
    <w:p>
      <w:pPr>
        <w:pStyle w:val="ListParagraph"/>
        <w:numPr>
          <w:ilvl w:val="0"/>
          <w:numId w:val="2"/>
        </w:numPr>
        <w:spacing w:after="60" w:before="60"/>
      </w:pPr>
      <w:r>
        <w:rPr>
          <w:rFonts w:ascii="Calibri" w:cs="Calibri" w:eastAsia="Calibri" w:hAnsi="Calibri"/>
          <w:b/>
          <w:bCs/>
          <w:color w:val="1A3A5C"/>
          <w:sz w:val="22"/>
          <w:szCs w:val="22"/>
        </w:rPr>
        <w:t xml:space="preserve">Model: </w:t>
      </w:r>
      <w:r>
        <w:rPr>
          <w:rFonts w:ascii="Calibri" w:cs="Calibri" w:eastAsia="Calibri" w:hAnsi="Calibri"/>
          <w:color w:val="1A1A1A"/>
          <w:sz w:val="22"/>
          <w:szCs w:val="22"/>
        </w:rPr>
        <w:t xml:space="preserve">ESM-C 300M parameters (much bigger than Joseph's 8M ESM-2)</w:t>
      </w:r>
    </w:p>
    <w:p>
      <w:pPr>
        <w:pStyle w:val="ListParagraph"/>
        <w:numPr>
          <w:ilvl w:val="0"/>
          <w:numId w:val="2"/>
        </w:numPr>
        <w:spacing w:after="60" w:before="60"/>
      </w:pPr>
      <w:r>
        <w:rPr>
          <w:rFonts w:ascii="Calibri" w:cs="Calibri" w:eastAsia="Calibri" w:hAnsi="Calibri"/>
          <w:b/>
          <w:bCs/>
          <w:color w:val="1A3A5C"/>
          <w:sz w:val="22"/>
          <w:szCs w:val="22"/>
        </w:rPr>
        <w:t xml:space="preserve">Task: </w:t>
      </w:r>
      <w:r>
        <w:rPr>
          <w:rFonts w:ascii="Calibri" w:cs="Calibri" w:eastAsia="Calibri" w:hAnsi="Calibri"/>
          <w:color w:val="1A1A1A"/>
          <w:sz w:val="22"/>
          <w:szCs w:val="22"/>
        </w:rPr>
        <w:t xml:space="preserve">Multi-label classification using ref_* columns (Joseph would adapt to binary)</w:t>
      </w:r>
    </w:p>
    <w:p>
      <w:pPr>
        <w:pStyle w:val="ListParagraph"/>
        <w:numPr>
          <w:ilvl w:val="0"/>
          <w:numId w:val="2"/>
        </w:numPr>
        <w:spacing w:after="60" w:before="60"/>
      </w:pPr>
      <w:r>
        <w:rPr>
          <w:rFonts w:ascii="Calibri" w:cs="Calibri" w:eastAsia="Calibri" w:hAnsi="Calibri"/>
          <w:b/>
          <w:bCs/>
          <w:color w:val="1A3A5C"/>
          <w:sz w:val="22"/>
          <w:szCs w:val="22"/>
        </w:rPr>
        <w:t xml:space="preserve">Pooling: </w:t>
      </w:r>
      <w:r>
        <w:rPr>
          <w:rFonts w:ascii="Calibri" w:cs="Calibri" w:eastAsia="Calibri" w:hAnsi="Calibri"/>
          <w:color w:val="1A1A1A"/>
          <w:sz w:val="22"/>
          <w:szCs w:val="22"/>
        </w:rPr>
        <w:t xml:space="preserve">Attention-masked mean pooling on encoder embeddings</w:t>
      </w:r>
    </w:p>
    <w:p>
      <w:pPr>
        <w:pStyle w:val="ListParagraph"/>
        <w:numPr>
          <w:ilvl w:val="0"/>
          <w:numId w:val="2"/>
        </w:numPr>
        <w:spacing w:after="60" w:before="60"/>
      </w:pPr>
      <w:r>
        <w:rPr>
          <w:rFonts w:ascii="Calibri" w:cs="Calibri" w:eastAsia="Calibri" w:hAnsi="Calibri"/>
          <w:b/>
          <w:bCs/>
          <w:color w:val="1A3A5C"/>
          <w:sz w:val="22"/>
          <w:szCs w:val="22"/>
        </w:rPr>
        <w:t xml:space="preserve">Loss: </w:t>
      </w:r>
      <w:r>
        <w:rPr>
          <w:rFonts w:ascii="Calibri" w:cs="Calibri" w:eastAsia="Calibri" w:hAnsi="Calibri"/>
          <w:color w:val="1A1A1A"/>
          <w:sz w:val="22"/>
          <w:szCs w:val="22"/>
        </w:rPr>
        <w:t xml:space="preserve">BCEWithLogitsLoss</w:t>
      </w:r>
    </w:p>
    <w:p>
      <w:pPr>
        <w:pStyle w:val="ListParagraph"/>
        <w:numPr>
          <w:ilvl w:val="0"/>
          <w:numId w:val="2"/>
        </w:numPr>
        <w:spacing w:after="60" w:before="60"/>
      </w:pPr>
      <w:r>
        <w:rPr>
          <w:rFonts w:ascii="Calibri" w:cs="Calibri" w:eastAsia="Calibri" w:hAnsi="Calibri"/>
          <w:b/>
          <w:bCs/>
          <w:color w:val="1A3A5C"/>
          <w:sz w:val="22"/>
          <w:szCs w:val="22"/>
        </w:rPr>
        <w:t xml:space="preserve">Hardware needed: </w:t>
      </w:r>
      <w:r>
        <w:rPr>
          <w:rFonts w:ascii="Calibri" w:cs="Calibri" w:eastAsia="Calibri" w:hAnsi="Calibri"/>
          <w:color w:val="1A1A1A"/>
          <w:sz w:val="22"/>
          <w:szCs w:val="22"/>
        </w:rPr>
        <w:t xml:space="preserve">H100 referenced in original notebook — requires a real GPU</w:t>
      </w:r>
    </w:p>
    <w:p>
      <w:pPr>
        <w:spacing w:after="80" w:before="240"/>
      </w:pPr>
      <w:r>
        <w:rPr>
          <w:rFonts w:ascii="Arial" w:cs="Arial" w:eastAsia="Arial" w:hAnsi="Arial"/>
          <w:b/>
          <w:bCs/>
          <w:color w:val="1A3A5C"/>
          <w:sz w:val="22"/>
          <w:szCs w:val="22"/>
        </w:rPr>
        <w:t xml:space="preserve">Blocker</w:t>
      </w:r>
    </w:p>
    <w:p>
      <w:pPr>
        <w:spacing w:after="120" w:before="120" w:line="320"/>
      </w:pPr>
      <w:r>
        <w:rPr>
          <w:rFonts w:ascii="Calibri" w:cs="Calibri" w:eastAsia="Calibri" w:hAnsi="Calibri"/>
          <w:color w:val="1A1A1A"/>
          <w:sz w:val="22"/>
          <w:szCs w:val="22"/>
        </w:rPr>
        <w:t xml:space="preserve">Joseph's laptop has Intel Iris Xe integrated graphics — not CUDA-capable. Cannot run any version of this pipeline locally. Needs GPU access via Sockeye (UBC ARC), Colab Pro, or lab compute. This was flagged with Dr. Kilgore at the meeting; awaiting his guidance on compute setup.</w:t>
      </w:r>
    </w:p>
    <w:p>
      <w:pPr>
        <w:pBdr>
          <w:bottom w:val="single" w:color="1A3A5C" w:sz="12" w:space="4"/>
        </w:pBdr>
        <w:spacing w:after="180" w:before="480"/>
      </w:pPr>
      <w:r>
        <w:rPr>
          <w:rFonts w:ascii="Arial" w:cs="Arial" w:eastAsia="Arial" w:hAnsi="Arial"/>
          <w:b/>
          <w:bCs/>
          <w:color w:val="1A3A5C"/>
          <w:sz w:val="32"/>
          <w:szCs w:val="32"/>
        </w:rPr>
        <w:t xml:space="preserve">Planned Next Steps (Discussed With Supervisor)</w:t>
      </w:r>
    </w:p>
    <w:p>
      <w:pPr>
        <w:spacing w:after="120" w:before="300"/>
      </w:pPr>
      <w:r>
        <w:rPr>
          <w:rFonts w:ascii="Arial" w:cs="Arial" w:eastAsia="Arial" w:hAnsi="Arial"/>
          <w:b/>
          <w:bCs/>
          <w:color w:val="2E5D8F"/>
          <w:sz w:val="26"/>
          <w:szCs w:val="26"/>
        </w:rPr>
        <w:t xml:space="preserve">1. Expand the labeled dataset</w:t>
      </w:r>
    </w:p>
    <w:p>
      <w:pPr>
        <w:spacing w:after="120" w:before="120" w:line="320"/>
      </w:pPr>
      <w:r>
        <w:rPr>
          <w:rFonts w:ascii="Calibri" w:cs="Calibri" w:eastAsia="Calibri" w:hAnsi="Calibri"/>
          <w:color w:val="1A1A1A"/>
          <w:sz w:val="22"/>
          <w:szCs w:val="22"/>
        </w:rPr>
        <w:t xml:space="preserve">Dr. Kilgore shared a bioRxiv paper (link: https://www.biorxiv.org/content/10.64898/2026.02.19.706919v1.full — likely 'Searching the Druggable Genome using Large Language Models') as a reference for growing the training set. Need to read carefully before executing.</w:t>
      </w:r>
    </w:p>
    <w:p>
      <w:pPr>
        <w:spacing w:after="80" w:before="240"/>
      </w:pPr>
      <w:r>
        <w:rPr>
          <w:rFonts w:ascii="Arial" w:cs="Arial" w:eastAsia="Arial" w:hAnsi="Arial"/>
          <w:b/>
          <w:bCs/>
          <w:color w:val="1A3A5C"/>
          <w:sz w:val="22"/>
          <w:szCs w:val="22"/>
        </w:rPr>
        <w:t xml:space="preserve">Likely expansion sources</w:t>
      </w:r>
    </w:p>
    <w:p>
      <w:pPr>
        <w:pStyle w:val="ListParagraph"/>
        <w:numPr>
          <w:ilvl w:val="0"/>
          <w:numId w:val="2"/>
        </w:numPr>
        <w:spacing w:after="60" w:before="60"/>
      </w:pPr>
      <w:r>
        <w:rPr>
          <w:rFonts w:ascii="Calibri" w:cs="Calibri" w:eastAsia="Calibri" w:hAnsi="Calibri"/>
          <w:color w:val="1A1A1A"/>
          <w:sz w:val="22"/>
          <w:szCs w:val="22"/>
        </w:rPr>
        <w:t xml:space="preserve">Open Targets tractability buckets (downloadable TSV) — gold-standard target-disease annotation, thousands of additional proteins</w:t>
      </w:r>
    </w:p>
    <w:p>
      <w:pPr>
        <w:pStyle w:val="ListParagraph"/>
        <w:numPr>
          <w:ilvl w:val="0"/>
          <w:numId w:val="2"/>
        </w:numPr>
        <w:spacing w:after="60" w:before="60"/>
      </w:pPr>
      <w:r>
        <w:rPr>
          <w:rFonts w:ascii="Calibri" w:cs="Calibri" w:eastAsia="Calibri" w:hAnsi="Calibri"/>
          <w:color w:val="1A1A1A"/>
          <w:sz w:val="22"/>
          <w:szCs w:val="22"/>
        </w:rPr>
        <w:t xml:space="preserve">canSAR tractability annotation export</w:t>
      </w:r>
    </w:p>
    <w:p>
      <w:pPr>
        <w:pStyle w:val="ListParagraph"/>
        <w:numPr>
          <w:ilvl w:val="0"/>
          <w:numId w:val="2"/>
        </w:numPr>
        <w:spacing w:after="60" w:before="60"/>
      </w:pPr>
      <w:r>
        <w:rPr>
          <w:rFonts w:ascii="Calibri" w:cs="Calibri" w:eastAsia="Calibri" w:hAnsi="Calibri"/>
          <w:color w:val="1A1A1A"/>
          <w:sz w:val="22"/>
          <w:szCs w:val="22"/>
        </w:rPr>
        <w:t xml:space="preserve">Pharos full target development levels (Tclin/Tchem/Tbio/Tdark) — currently only used as exclusions for the negative pool, could be expanded into positive labels</w:t>
      </w:r>
    </w:p>
    <w:p>
      <w:pPr>
        <w:pStyle w:val="ListParagraph"/>
        <w:numPr>
          <w:ilvl w:val="0"/>
          <w:numId w:val="2"/>
        </w:numPr>
        <w:spacing w:after="60" w:before="60"/>
      </w:pPr>
      <w:r>
        <w:rPr>
          <w:rFonts w:ascii="Calibri" w:cs="Calibri" w:eastAsia="Calibri" w:hAnsi="Calibri"/>
          <w:color w:val="1A1A1A"/>
          <w:sz w:val="22"/>
          <w:szCs w:val="22"/>
        </w:rPr>
        <w:t xml:space="preserve">Tiered ChEMBL thresholds — current pipeline uses strict 100 nM cutoff; could add weak positives (100 nM to 10 μM) and confirmed inactives (tested but no hit) as additional label tiers</w:t>
      </w:r>
    </w:p>
    <w:p>
      <w:pPr>
        <w:spacing w:after="80" w:before="240"/>
      </w:pPr>
      <w:r>
        <w:rPr>
          <w:rFonts w:ascii="Arial" w:cs="Arial" w:eastAsia="Arial" w:hAnsi="Arial"/>
          <w:b/>
          <w:bCs/>
          <w:color w:val="1A3A5C"/>
          <w:sz w:val="22"/>
          <w:szCs w:val="22"/>
        </w:rPr>
        <w:t xml:space="preserve">Expected dataset size after expansion</w:t>
      </w:r>
    </w:p>
    <w:p>
      <w:pPr>
        <w:spacing w:after="120" w:before="120" w:line="320"/>
      </w:pPr>
      <w:r>
        <w:rPr>
          <w:rFonts w:ascii="Calibri" w:cs="Calibri" w:eastAsia="Calibri" w:hAnsi="Calibri"/>
          <w:color w:val="1A1A1A"/>
          <w:sz w:val="22"/>
          <w:szCs w:val="22"/>
        </w:rPr>
        <w:t xml:space="preserve">Conservatively 5,000-15,000 labeled proteins depending on inclusion criteria. Still far short of 83k — most of the proteome remains genuinely unlabeled.</w:t>
      </w:r>
    </w:p>
    <w:p>
      <w:pPr>
        <w:spacing w:after="80" w:before="240"/>
      </w:pPr>
      <w:r>
        <w:rPr>
          <w:rFonts w:ascii="Arial" w:cs="Arial" w:eastAsia="Arial" w:hAnsi="Arial"/>
          <w:b/>
          <w:bCs/>
          <w:color w:val="1A3A5C"/>
          <w:sz w:val="22"/>
          <w:szCs w:val="22"/>
        </w:rPr>
        <w:t xml:space="preserve">Honest caveat</w:t>
      </w:r>
    </w:p>
    <w:p>
      <w:pPr>
        <w:spacing w:after="120" w:before="120" w:line="320"/>
      </w:pPr>
      <w:r>
        <w:rPr>
          <w:rFonts w:ascii="Calibri" w:cs="Calibri" w:eastAsia="Calibri" w:hAnsi="Calibri"/>
          <w:color w:val="1A1A1A"/>
          <w:sz w:val="22"/>
          <w:szCs w:val="22"/>
        </w:rPr>
        <w:t xml:space="preserve">Bigger isn't automatically better. Adding noisier labels (e.g. 10 μM ChEMBL hits as positives) may reduce AUC even with more data. That's not regression — it's a more realistic estimate. Should be ready to defend a number that drops.</w:t>
      </w:r>
    </w:p>
    <w:p>
      <w:pPr>
        <w:spacing w:after="120" w:before="300"/>
      </w:pPr>
      <w:r>
        <w:rPr>
          <w:rFonts w:ascii="Arial" w:cs="Arial" w:eastAsia="Arial" w:hAnsi="Arial"/>
          <w:b/>
          <w:bCs/>
          <w:color w:val="2E5D8F"/>
          <w:sz w:val="26"/>
          <w:szCs w:val="26"/>
        </w:rPr>
        <w:t xml:space="preserve">2. Fix family leakage with similarity-based splits</w:t>
      </w:r>
    </w:p>
    <w:p>
      <w:pPr>
        <w:spacing w:after="120" w:before="120" w:line="320"/>
      </w:pPr>
      <w:r>
        <w:rPr>
          <w:rFonts w:ascii="Calibri" w:cs="Calibri" w:eastAsia="Calibri" w:hAnsi="Calibri"/>
          <w:color w:val="1A1A1A"/>
          <w:sz w:val="22"/>
          <w:szCs w:val="22"/>
        </w:rPr>
        <w:t xml:space="preserve">Current evaluation uses random 5-fold CV. Top 10 gene-name prefixes in positives are all known target families (kinases, GPCRs, ion channels, etc.), so random splits put close relatives in both train and test. The 0.815 AUC is almost certainly inflated.</w:t>
      </w:r>
    </w:p>
    <w:p>
      <w:pPr>
        <w:spacing w:after="80" w:before="240"/>
      </w:pPr>
      <w:r>
        <w:rPr>
          <w:rFonts w:ascii="Arial" w:cs="Arial" w:eastAsia="Arial" w:hAnsi="Arial"/>
          <w:b/>
          <w:bCs/>
          <w:color w:val="1A3A5C"/>
          <w:sz w:val="22"/>
          <w:szCs w:val="22"/>
        </w:rPr>
        <w:t xml:space="preserve">Proposed fix</w:t>
      </w:r>
    </w:p>
    <w:p>
      <w:pPr>
        <w:pStyle w:val="ListParagraph"/>
        <w:numPr>
          <w:ilvl w:val="0"/>
          <w:numId w:val="2"/>
        </w:numPr>
        <w:spacing w:after="60" w:before="60"/>
      </w:pPr>
      <w:r>
        <w:rPr>
          <w:rFonts w:ascii="Calibri" w:cs="Calibri" w:eastAsia="Calibri" w:hAnsi="Calibri"/>
          <w:color w:val="1A1A1A"/>
          <w:sz w:val="22"/>
          <w:szCs w:val="22"/>
        </w:rPr>
        <w:t xml:space="preserve">Cluster proteins by sequence identity (MMseqs2 at e.g. 30% or 50% identity)</w:t>
      </w:r>
    </w:p>
    <w:p>
      <w:pPr>
        <w:pStyle w:val="ListParagraph"/>
        <w:numPr>
          <w:ilvl w:val="0"/>
          <w:numId w:val="2"/>
        </w:numPr>
        <w:spacing w:after="60" w:before="60"/>
      </w:pPr>
      <w:r>
        <w:rPr>
          <w:rFonts w:ascii="Calibri" w:cs="Calibri" w:eastAsia="Calibri" w:hAnsi="Calibri"/>
          <w:color w:val="1A1A1A"/>
          <w:sz w:val="22"/>
          <w:szCs w:val="22"/>
        </w:rPr>
        <w:t xml:space="preserve">Assign whole clusters to either train or test, never split a cluster across folds</w:t>
      </w:r>
    </w:p>
    <w:p>
      <w:pPr>
        <w:pStyle w:val="ListParagraph"/>
        <w:numPr>
          <w:ilvl w:val="0"/>
          <w:numId w:val="2"/>
        </w:numPr>
        <w:spacing w:after="60" w:before="60"/>
      </w:pPr>
      <w:r>
        <w:rPr>
          <w:rFonts w:ascii="Calibri" w:cs="Calibri" w:eastAsia="Calibri" w:hAnsi="Calibri"/>
          <w:color w:val="1A1A1A"/>
          <w:sz w:val="22"/>
          <w:szCs w:val="22"/>
        </w:rPr>
        <w:t xml:space="preserve">Re-run layer probe analysis</w:t>
      </w:r>
    </w:p>
    <w:p>
      <w:pPr>
        <w:pStyle w:val="ListParagraph"/>
        <w:numPr>
          <w:ilvl w:val="0"/>
          <w:numId w:val="2"/>
        </w:numPr>
        <w:spacing w:after="60" w:before="60"/>
      </w:pPr>
      <w:r>
        <w:rPr>
          <w:rFonts w:ascii="Calibri" w:cs="Calibri" w:eastAsia="Calibri" w:hAnsi="Calibri"/>
          <w:color w:val="1A1A1A"/>
          <w:sz w:val="22"/>
          <w:szCs w:val="22"/>
        </w:rPr>
        <w:t xml:space="preserve">Expected AUC drop is the point — the new number actually means something</w:t>
      </w:r>
    </w:p>
    <w:p>
      <w:pPr>
        <w:spacing w:after="120" w:before="300"/>
      </w:pPr>
      <w:r>
        <w:rPr>
          <w:rFonts w:ascii="Arial" w:cs="Arial" w:eastAsia="Arial" w:hAnsi="Arial"/>
          <w:b/>
          <w:bCs/>
          <w:color w:val="2E5D8F"/>
          <w:sz w:val="26"/>
          <w:szCs w:val="26"/>
        </w:rPr>
        <w:t xml:space="preserve">3. Run LoRA fine-tuning of ESM-2 or ESM-C</w:t>
      </w:r>
    </w:p>
    <w:p>
      <w:pPr>
        <w:spacing w:after="120" w:before="120" w:line="320"/>
      </w:pPr>
      <w:r>
        <w:rPr>
          <w:rFonts w:ascii="Calibri" w:cs="Calibri" w:eastAsia="Calibri" w:hAnsi="Calibri"/>
          <w:color w:val="1A1A1A"/>
          <w:sz w:val="22"/>
          <w:szCs w:val="22"/>
        </w:rPr>
        <w:t xml:space="preserve">Once GPU access is sorted and the expanded dataset is built. Adapt Dr. Kilgore's fine-tuning.py from multi-label to binary druggability. Add a proper training loop with optimizer, backprop, LoRA configuration.</w:t>
      </w:r>
    </w:p>
    <w:p>
      <w:pPr>
        <w:spacing w:after="120" w:before="300"/>
      </w:pPr>
      <w:r>
        <w:rPr>
          <w:rFonts w:ascii="Arial" w:cs="Arial" w:eastAsia="Arial" w:hAnsi="Arial"/>
          <w:b/>
          <w:bCs/>
          <w:color w:val="2E5D8F"/>
          <w:sz w:val="26"/>
          <w:szCs w:val="26"/>
        </w:rPr>
        <w:t xml:space="preserve">4. Deploy trained model on the full 83k human proteome</w:t>
      </w:r>
    </w:p>
    <w:p>
      <w:pPr>
        <w:spacing w:after="120" w:before="120" w:line="320"/>
      </w:pPr>
      <w:r>
        <w:rPr>
          <w:rFonts w:ascii="Calibri" w:cs="Calibri" w:eastAsia="Calibri" w:hAnsi="Calibri"/>
          <w:color w:val="1A1A1A"/>
          <w:sz w:val="22"/>
          <w:szCs w:val="22"/>
        </w:rPr>
        <w:t xml:space="preserve">This is where the 83k file finally enters the pipeline — for prediction, not training. Once the model is trustworthy, score every UniProt human protein. Output CSV with UniProt_ID and druggability_probability. This becomes the druggability column in the merged group database.</w:t>
      </w:r>
    </w:p>
    <w:p>
      <w:pPr>
        <w:spacing w:after="120" w:before="300"/>
      </w:pPr>
      <w:r>
        <w:rPr>
          <w:rFonts w:ascii="Arial" w:cs="Arial" w:eastAsia="Arial" w:hAnsi="Arial"/>
          <w:b/>
          <w:bCs/>
          <w:color w:val="2E5D8F"/>
          <w:sz w:val="26"/>
          <w:szCs w:val="26"/>
        </w:rPr>
        <w:t xml:space="preserve">5. Integrate with groupmates' work</w:t>
      </w:r>
    </w:p>
    <w:p>
      <w:pPr>
        <w:spacing w:after="120" w:before="120" w:line="320"/>
      </w:pPr>
      <w:r>
        <w:rPr>
          <w:rFonts w:ascii="Calibri" w:cs="Calibri" w:eastAsia="Calibri" w:hAnsi="Calibri"/>
          <w:color w:val="1A1A1A"/>
          <w:sz w:val="22"/>
          <w:szCs w:val="22"/>
        </w:rPr>
        <w:t xml:space="preserve">Join Joseph's druggability scores with the aggregation group's risk scores and the drug resistance group's labels (once they finish training their model) on UniProt ID. Single combined table per protein with multiple property columns.</w:t>
      </w:r>
    </w:p>
    <w:p>
      <w:pPr>
        <w:pBdr>
          <w:bottom w:val="single" w:color="1A3A5C" w:sz="12" w:space="4"/>
        </w:pBdr>
        <w:spacing w:after="180" w:before="480"/>
      </w:pPr>
      <w:r>
        <w:rPr>
          <w:rFonts w:ascii="Arial" w:cs="Arial" w:eastAsia="Arial" w:hAnsi="Arial"/>
          <w:b/>
          <w:bCs/>
          <w:color w:val="1A3A5C"/>
          <w:sz w:val="32"/>
          <w:szCs w:val="32"/>
        </w:rPr>
        <w:t xml:space="preserve">Environment &amp; Setup</w:t>
      </w:r>
    </w:p>
    <w:p>
      <w:pPr>
        <w:spacing w:after="80" w:before="240"/>
      </w:pPr>
      <w:r>
        <w:rPr>
          <w:rFonts w:ascii="Arial" w:cs="Arial" w:eastAsia="Arial" w:hAnsi="Arial"/>
          <w:b/>
          <w:bCs/>
          <w:color w:val="1A3A5C"/>
          <w:sz w:val="22"/>
          <w:szCs w:val="22"/>
        </w:rPr>
        <w:t xml:space="preserve">Conda environments</w:t>
      </w:r>
    </w:p>
    <w:p>
      <w:pPr>
        <w:pStyle w:val="ListParagraph"/>
        <w:numPr>
          <w:ilvl w:val="0"/>
          <w:numId w:val="2"/>
        </w:numPr>
        <w:spacing w:after="60" w:before="60"/>
      </w:pPr>
      <w:r>
        <w:rPr>
          <w:rFonts w:ascii="Calibri" w:cs="Calibri" w:eastAsia="Calibri" w:hAnsi="Calibri"/>
          <w:b/>
          <w:bCs/>
          <w:color w:val="1A3A5C"/>
          <w:sz w:val="22"/>
          <w:szCs w:val="22"/>
        </w:rPr>
        <w:t xml:space="preserve">bioai: </w:t>
      </w:r>
      <w:r>
        <w:rPr>
          <w:rFonts w:ascii="Calibri" w:cs="Calibri" w:eastAsia="Calibri" w:hAnsi="Calibri"/>
          <w:color w:val="1A1A1A"/>
          <w:sz w:val="22"/>
          <w:szCs w:val="22"/>
        </w:rPr>
        <w:t xml:space="preserve">rdkit and ChEMBL work, used for phase1_dataset.ipynb</w:t>
      </w:r>
    </w:p>
    <w:p>
      <w:pPr>
        <w:pStyle w:val="ListParagraph"/>
        <w:numPr>
          <w:ilvl w:val="0"/>
          <w:numId w:val="2"/>
        </w:numPr>
        <w:spacing w:after="60" w:before="60"/>
      </w:pPr>
      <w:r>
        <w:rPr>
          <w:rFonts w:ascii="Calibri" w:cs="Calibri" w:eastAsia="Calibri" w:hAnsi="Calibri"/>
          <w:b/>
          <w:bCs/>
          <w:color w:val="1A3A5C"/>
          <w:sz w:val="22"/>
          <w:szCs w:val="22"/>
        </w:rPr>
        <w:t xml:space="preserve">esm: </w:t>
      </w:r>
      <w:r>
        <w:rPr>
          <w:rFonts w:ascii="Calibri" w:cs="Calibri" w:eastAsia="Calibri" w:hAnsi="Calibri"/>
          <w:color w:val="1A1A1A"/>
          <w:sz w:val="22"/>
          <w:szCs w:val="22"/>
        </w:rPr>
        <w:t xml:space="preserve">ESM-2 environment with fair-esm, jupyter, torch (CPU)</w:t>
      </w:r>
    </w:p>
    <w:p>
      <w:pPr>
        <w:pStyle w:val="ListParagraph"/>
        <w:numPr>
          <w:ilvl w:val="0"/>
          <w:numId w:val="2"/>
        </w:numPr>
        <w:spacing w:after="60" w:before="60"/>
      </w:pPr>
      <w:r>
        <w:rPr>
          <w:rFonts w:ascii="Calibri" w:cs="Calibri" w:eastAsia="Calibri" w:hAnsi="Calibri"/>
          <w:b/>
          <w:bCs/>
          <w:color w:val="1A3A5C"/>
          <w:sz w:val="22"/>
          <w:szCs w:val="22"/>
        </w:rPr>
        <w:t xml:space="preserve">alphafold: </w:t>
      </w:r>
      <w:r>
        <w:rPr>
          <w:rFonts w:ascii="Calibri" w:cs="Calibri" w:eastAsia="Calibri" w:hAnsi="Calibri"/>
          <w:color w:val="1A1A1A"/>
          <w:sz w:val="22"/>
          <w:szCs w:val="22"/>
        </w:rPr>
        <w:t xml:space="preserve">Phase 1 structural data work</w:t>
      </w:r>
    </w:p>
    <w:p>
      <w:pPr>
        <w:spacing w:after="80" w:before="240"/>
      </w:pPr>
      <w:r>
        <w:rPr>
          <w:rFonts w:ascii="Arial" w:cs="Arial" w:eastAsia="Arial" w:hAnsi="Arial"/>
          <w:b/>
          <w:bCs/>
          <w:color w:val="1A3A5C"/>
          <w:sz w:val="22"/>
          <w:szCs w:val="22"/>
        </w:rPr>
        <w:t xml:space="preserve">Working setup</w:t>
      </w:r>
    </w:p>
    <w:p>
      <w:pPr>
        <w:pStyle w:val="ListParagraph"/>
        <w:numPr>
          <w:ilvl w:val="0"/>
          <w:numId w:val="2"/>
        </w:numPr>
        <w:spacing w:after="60" w:before="60"/>
      </w:pPr>
      <w:r>
        <w:rPr>
          <w:rFonts w:ascii="Calibri" w:cs="Calibri" w:eastAsia="Calibri" w:hAnsi="Calibri"/>
          <w:color w:val="1A1A1A"/>
          <w:sz w:val="22"/>
          <w:szCs w:val="22"/>
        </w:rPr>
        <w:t xml:space="preserve">OS: Windows, Anaconda Prompt for terminal work</w:t>
      </w:r>
    </w:p>
    <w:p>
      <w:pPr>
        <w:pStyle w:val="ListParagraph"/>
        <w:numPr>
          <w:ilvl w:val="0"/>
          <w:numId w:val="2"/>
        </w:numPr>
        <w:spacing w:after="60" w:before="60"/>
      </w:pPr>
      <w:r>
        <w:rPr>
          <w:rFonts w:ascii="Calibri" w:cs="Calibri" w:eastAsia="Calibri" w:hAnsi="Calibri"/>
          <w:color w:val="1A1A1A"/>
          <w:sz w:val="22"/>
          <w:szCs w:val="22"/>
        </w:rPr>
        <w:t xml:space="preserve">Jupyter for interactive analysis</w:t>
      </w:r>
    </w:p>
    <w:p>
      <w:pPr>
        <w:pStyle w:val="ListParagraph"/>
        <w:numPr>
          <w:ilvl w:val="0"/>
          <w:numId w:val="2"/>
        </w:numPr>
        <w:spacing w:after="60" w:before="60"/>
      </w:pPr>
      <w:r>
        <w:rPr>
          <w:rFonts w:ascii="Calibri" w:cs="Calibri" w:eastAsia="Calibri" w:hAnsi="Calibri"/>
          <w:color w:val="1A1A1A"/>
          <w:sz w:val="22"/>
          <w:szCs w:val="22"/>
        </w:rPr>
        <w:t xml:space="preserve">No GPU available locally (Intel Iris Xe — not CUDA)</w:t>
      </w:r>
    </w:p>
    <w:p>
      <w:pPr>
        <w:spacing w:after="80" w:before="240"/>
      </w:pPr>
      <w:r>
        <w:rPr>
          <w:rFonts w:ascii="Arial" w:cs="Arial" w:eastAsia="Arial" w:hAnsi="Arial"/>
          <w:b/>
          <w:bCs/>
          <w:color w:val="1A3A5C"/>
          <w:sz w:val="22"/>
          <w:szCs w:val="22"/>
        </w:rPr>
        <w:t xml:space="preserve">User preferences (important for tone)</w:t>
      </w:r>
    </w:p>
    <w:p>
      <w:pPr>
        <w:pStyle w:val="ListParagraph"/>
        <w:numPr>
          <w:ilvl w:val="0"/>
          <w:numId w:val="2"/>
        </w:numPr>
        <w:spacing w:after="60" w:before="60"/>
      </w:pPr>
      <w:r>
        <w:rPr>
          <w:rFonts w:ascii="Calibri" w:cs="Calibri" w:eastAsia="Calibri" w:hAnsi="Calibri"/>
          <w:color w:val="1A1A1A"/>
          <w:sz w:val="22"/>
          <w:szCs w:val="22"/>
        </w:rPr>
        <w:t xml:space="preserve">Prefers concise, professional communication without filler</w:t>
      </w:r>
    </w:p>
    <w:p>
      <w:pPr>
        <w:pStyle w:val="ListParagraph"/>
        <w:numPr>
          <w:ilvl w:val="0"/>
          <w:numId w:val="2"/>
        </w:numPr>
        <w:spacing w:after="60" w:before="60"/>
      </w:pPr>
      <w:r>
        <w:rPr>
          <w:rFonts w:ascii="Calibri" w:cs="Calibri" w:eastAsia="Calibri" w:hAnsi="Calibri"/>
          <w:color w:val="1A1A1A"/>
          <w:sz w:val="22"/>
          <w:szCs w:val="22"/>
        </w:rPr>
        <w:t xml:space="preserve">Dislikes em dashes — use commas, parentheses, or periods</w:t>
      </w:r>
    </w:p>
    <w:p>
      <w:pPr>
        <w:pStyle w:val="ListParagraph"/>
        <w:numPr>
          <w:ilvl w:val="0"/>
          <w:numId w:val="2"/>
        </w:numPr>
        <w:spacing w:after="60" w:before="60"/>
      </w:pPr>
      <w:r>
        <w:rPr>
          <w:rFonts w:ascii="Calibri" w:cs="Calibri" w:eastAsia="Calibri" w:hAnsi="Calibri"/>
          <w:color w:val="1A1A1A"/>
          <w:sz w:val="22"/>
          <w:szCs w:val="22"/>
        </w:rPr>
        <w:t xml:space="preserve">Wants honest pushback, not flattery — call out methodological issues directly</w:t>
      </w:r>
    </w:p>
    <w:p>
      <w:pPr>
        <w:pStyle w:val="ListParagraph"/>
        <w:numPr>
          <w:ilvl w:val="0"/>
          <w:numId w:val="2"/>
        </w:numPr>
        <w:spacing w:after="60" w:before="60"/>
      </w:pPr>
      <w:r>
        <w:rPr>
          <w:rFonts w:ascii="Calibri" w:cs="Calibri" w:eastAsia="Calibri" w:hAnsi="Calibri"/>
          <w:color w:val="1A1A1A"/>
          <w:sz w:val="22"/>
          <w:szCs w:val="22"/>
        </w:rPr>
        <w:t xml:space="preserve">Prefers manual data entry from formatted tables over automated scripts when they don't integrate cleanly</w:t>
      </w:r>
    </w:p>
    <w:p>
      <w:pPr>
        <w:pStyle w:val="ListParagraph"/>
        <w:numPr>
          <w:ilvl w:val="0"/>
          <w:numId w:val="2"/>
        </w:numPr>
        <w:spacing w:after="60" w:before="60"/>
      </w:pPr>
      <w:r>
        <w:rPr>
          <w:rFonts w:ascii="Calibri" w:cs="Calibri" w:eastAsia="Calibri" w:hAnsi="Calibri"/>
          <w:color w:val="1A1A1A"/>
          <w:sz w:val="22"/>
          <w:szCs w:val="22"/>
        </w:rPr>
        <w:t xml:space="preserve">Other ongoing project: cannabis recall tracking (RC2 spreadsheet, separate work for boss)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2026-05-31T22:42:16.736Z</dcterms:created>
  <dcterms:modified xsi:type="dcterms:W3CDTF">2026-05-31T22:42:16.749Z</dcterms:modified>
</cp:coreProperties>
</file>

<file path=docProps/custom.xml><?xml version="1.0" encoding="utf-8"?>
<Properties xmlns="http://schemas.openxmlformats.org/officeDocument/2006/custom-properties" xmlns:vt="http://schemas.openxmlformats.org/officeDocument/2006/docPropsVTypes"/>
</file>