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1F" w:rsidRDefault="000919AD" w:rsidP="000919AD">
      <w:pPr>
        <w:pStyle w:val="Listenabsatz"/>
        <w:numPr>
          <w:ilvl w:val="0"/>
          <w:numId w:val="1"/>
        </w:numPr>
      </w:pPr>
      <w:r>
        <w:t>Vorgeschichte</w:t>
      </w:r>
    </w:p>
    <w:p w:rsidR="000919AD" w:rsidRDefault="000919AD" w:rsidP="000919AD">
      <w:pPr>
        <w:pStyle w:val="Listenabsatz"/>
        <w:numPr>
          <w:ilvl w:val="1"/>
          <w:numId w:val="1"/>
        </w:numPr>
      </w:pPr>
      <w:r>
        <w:t>1100</w:t>
      </w:r>
    </w:p>
    <w:p w:rsidR="000919AD" w:rsidRDefault="000919AD" w:rsidP="000919AD">
      <w:pPr>
        <w:pStyle w:val="Listenabsatz"/>
        <w:numPr>
          <w:ilvl w:val="1"/>
          <w:numId w:val="1"/>
        </w:numPr>
      </w:pPr>
      <w:r>
        <w:t>1600</w:t>
      </w:r>
    </w:p>
    <w:p w:rsidR="000919AD" w:rsidRDefault="000919AD" w:rsidP="000919AD">
      <w:pPr>
        <w:pStyle w:val="Listenabsatz"/>
        <w:numPr>
          <w:ilvl w:val="1"/>
          <w:numId w:val="1"/>
        </w:numPr>
      </w:pPr>
      <w:r>
        <w:t>1900</w:t>
      </w:r>
    </w:p>
    <w:p w:rsidR="000919AD" w:rsidRDefault="000919AD" w:rsidP="000919AD">
      <w:pPr>
        <w:pStyle w:val="Listenabsatz"/>
        <w:numPr>
          <w:ilvl w:val="0"/>
          <w:numId w:val="1"/>
        </w:numPr>
      </w:pPr>
      <w:r>
        <w:t>Konflikt</w:t>
      </w:r>
    </w:p>
    <w:p w:rsidR="000919AD" w:rsidRDefault="000919AD" w:rsidP="000919AD">
      <w:pPr>
        <w:pStyle w:val="Listenabsatz"/>
        <w:numPr>
          <w:ilvl w:val="0"/>
          <w:numId w:val="1"/>
        </w:numPr>
      </w:pPr>
      <w:r>
        <w:t>Nachgeschichte/Aktuelle politische Lage</w:t>
      </w:r>
    </w:p>
    <w:p w:rsidR="000919AD" w:rsidRDefault="000919AD" w:rsidP="000919AD">
      <w:pPr>
        <w:pStyle w:val="Listenabsatz"/>
        <w:numPr>
          <w:ilvl w:val="0"/>
          <w:numId w:val="1"/>
        </w:numPr>
      </w:pPr>
      <w:r>
        <w:t xml:space="preserve">Disparitäten </w:t>
      </w:r>
      <w:proofErr w:type="spellStart"/>
      <w:r>
        <w:t>zw</w:t>
      </w:r>
      <w:proofErr w:type="spellEnd"/>
      <w:r>
        <w:t xml:space="preserve"> Protestanten und Katholiken in Nordirland</w:t>
      </w:r>
    </w:p>
    <w:p w:rsidR="000919AD" w:rsidRDefault="000919AD" w:rsidP="000919AD">
      <w:pPr>
        <w:pStyle w:val="Listenabsatz"/>
        <w:numPr>
          <w:ilvl w:val="0"/>
          <w:numId w:val="1"/>
        </w:numPr>
      </w:pPr>
      <w:r>
        <w:t xml:space="preserve">Handel </w:t>
      </w:r>
      <w:proofErr w:type="spellStart"/>
      <w:r>
        <w:t>zw</w:t>
      </w:r>
      <w:proofErr w:type="spellEnd"/>
      <w:r>
        <w:t xml:space="preserve"> Irland u GB</w:t>
      </w:r>
    </w:p>
    <w:p w:rsidR="000919AD" w:rsidRDefault="000919AD" w:rsidP="000919AD">
      <w:pPr>
        <w:pStyle w:val="Listenabsatz"/>
        <w:numPr>
          <w:ilvl w:val="0"/>
          <w:numId w:val="1"/>
        </w:numPr>
      </w:pPr>
      <w:r>
        <w:t>Soziales Leben/Spannungen</w:t>
      </w:r>
    </w:p>
    <w:p w:rsidR="000919AD" w:rsidRDefault="000919AD" w:rsidP="000919AD"/>
    <w:p w:rsidR="000919AD" w:rsidRDefault="00777980" w:rsidP="00777980">
      <w:pPr>
        <w:pStyle w:val="Listenabsatz"/>
        <w:numPr>
          <w:ilvl w:val="0"/>
          <w:numId w:val="1"/>
        </w:numPr>
      </w:pPr>
      <w:r>
        <w:t>Leitfragen</w:t>
      </w:r>
    </w:p>
    <w:p w:rsidR="00777980" w:rsidRDefault="00777980" w:rsidP="00777980">
      <w:pPr>
        <w:pStyle w:val="Listenabsatz"/>
      </w:pPr>
    </w:p>
    <w:p w:rsidR="00777980" w:rsidRDefault="00777980" w:rsidP="00777980">
      <w:pPr>
        <w:pStyle w:val="Listenabsatz"/>
        <w:numPr>
          <w:ilvl w:val="1"/>
          <w:numId w:val="1"/>
        </w:numPr>
      </w:pPr>
      <w:r>
        <w:t>Hungerstreik</w:t>
      </w:r>
    </w:p>
    <w:p w:rsidR="00777980" w:rsidRDefault="00777980" w:rsidP="00777980">
      <w:pPr>
        <w:pStyle w:val="Listenabsatz"/>
        <w:numPr>
          <w:ilvl w:val="2"/>
          <w:numId w:val="1"/>
        </w:numPr>
      </w:pPr>
      <w:r>
        <w:t>Effektiv</w:t>
      </w:r>
    </w:p>
    <w:p w:rsidR="00777980" w:rsidRDefault="00777980" w:rsidP="00777980">
      <w:pPr>
        <w:pStyle w:val="Listenabsatz"/>
        <w:numPr>
          <w:ilvl w:val="2"/>
          <w:numId w:val="1"/>
        </w:numPr>
      </w:pPr>
      <w:r>
        <w:t>Auswirkungen</w:t>
      </w:r>
    </w:p>
    <w:p w:rsidR="00777980" w:rsidRDefault="00777980" w:rsidP="00777980">
      <w:pPr>
        <w:pStyle w:val="Listenabsatz"/>
        <w:numPr>
          <w:ilvl w:val="1"/>
          <w:numId w:val="1"/>
        </w:numPr>
      </w:pPr>
      <w:r>
        <w:t>Ende des Konflikts</w:t>
      </w:r>
    </w:p>
    <w:p w:rsidR="00777980" w:rsidRDefault="00777980" w:rsidP="00777980">
      <w:pPr>
        <w:pStyle w:val="Listenabsatz"/>
        <w:numPr>
          <w:ilvl w:val="1"/>
          <w:numId w:val="1"/>
        </w:numPr>
      </w:pPr>
      <w:r>
        <w:t xml:space="preserve">Nähere Betrachtung einer der Organisationen </w:t>
      </w:r>
    </w:p>
    <w:p w:rsidR="00777980" w:rsidRDefault="00777980" w:rsidP="00777980">
      <w:pPr>
        <w:pStyle w:val="Listenabsatz"/>
        <w:numPr>
          <w:ilvl w:val="1"/>
          <w:numId w:val="1"/>
        </w:numPr>
      </w:pPr>
      <w:r>
        <w:t>IRA und UVF im Vergleich</w:t>
      </w:r>
    </w:p>
    <w:p w:rsidR="002B47D6" w:rsidRDefault="002B47D6" w:rsidP="002B47D6">
      <w:pPr>
        <w:pStyle w:val="Listenabsatz"/>
        <w:numPr>
          <w:ilvl w:val="2"/>
          <w:numId w:val="1"/>
        </w:numPr>
      </w:pPr>
      <w:r>
        <w:t>Als Ohröffner die „Schlussereignisse“ der beiden Mitglieder aus Irland</w:t>
      </w:r>
    </w:p>
    <w:p w:rsidR="002B47D6" w:rsidRDefault="002B47D6" w:rsidP="002B47D6">
      <w:pPr>
        <w:pStyle w:val="Listenabsatz"/>
        <w:numPr>
          <w:ilvl w:val="2"/>
          <w:numId w:val="1"/>
        </w:numPr>
      </w:pPr>
      <w:r>
        <w:t>IRA und UVF im Nordirlandkonflikt – Verkörperung der segregierten Gesellschaften in Irland oder nur auf die eigenen Interessen bedacht?</w:t>
      </w:r>
      <w:bookmarkStart w:id="0" w:name="_GoBack"/>
      <w:bookmarkEnd w:id="0"/>
    </w:p>
    <w:sectPr w:rsidR="002B47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242E"/>
    <w:multiLevelType w:val="hybridMultilevel"/>
    <w:tmpl w:val="3738D910"/>
    <w:lvl w:ilvl="0" w:tplc="AC246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AD"/>
    <w:rsid w:val="00073315"/>
    <w:rsid w:val="000919AD"/>
    <w:rsid w:val="002B47D6"/>
    <w:rsid w:val="00777980"/>
    <w:rsid w:val="008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19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Bückert</dc:creator>
  <cp:lastModifiedBy>Julian Bückert</cp:lastModifiedBy>
  <cp:revision>1</cp:revision>
  <dcterms:created xsi:type="dcterms:W3CDTF">2018-09-04T07:58:00Z</dcterms:created>
  <dcterms:modified xsi:type="dcterms:W3CDTF">2018-09-04T09:02:00Z</dcterms:modified>
</cp:coreProperties>
</file>