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200" w:before="0"/>
        <w:jc w:val="center"/>
      </w:pPr>
      <w:r>
        <w:rPr>
          <w:b/>
          <w:bCs/>
          <w:color w:val="1F3864"/>
          <w:sz w:val="56"/>
          <w:szCs w:val="56"/>
        </w:rPr>
        <w:t xml:space="preserve">V3 PARTNERS S.A.</w:t>
      </w:r>
    </w:p>
    <w:p>
      <w:pPr>
        <w:spacing w:after="160" w:before="0"/>
        <w:jc w:val="center"/>
      </w:pPr>
      <w:r>
        <w:rPr>
          <w:b/>
          <w:bCs/>
          <w:color w:val="C9A84C"/>
          <w:sz w:val="30"/>
          <w:szCs w:val="30"/>
        </w:rPr>
        <w:t xml:space="preserve">Relatório de Handover — Diretrizes Estratégicas para Constituição</w:t>
      </w:r>
    </w:p>
    <w:p>
      <w:pPr>
        <w:spacing w:after="80" w:before="0"/>
        <w:jc w:val="center"/>
      </w:pPr>
      <w:r>
        <w:rPr>
          <w:i/>
          <w:iCs/>
          <w:color w:val="555555"/>
          <w:sz w:val="24"/>
          <w:szCs w:val="24"/>
        </w:rPr>
        <w:t xml:space="preserve">Documento destinado ao corpo jurídico | Legal Design</w:t>
      </w:r>
    </w:p>
    <w:p>
      <w:pPr>
        <w:spacing w:after="80" w:before="0"/>
        <w:jc w:val="center"/>
      </w:pPr>
      <w:r>
        <w:rPr>
          <w:color w:val="555555"/>
          <w:sz w:val="22"/>
          <w:szCs w:val="22"/>
        </w:rPr>
        <w:t xml:space="preserve">V3 Partners Soluções Ltda → V3 Partners S.A. | CNPJ 14.219.287/0001-50</w:t>
      </w:r>
    </w:p>
    <w:p>
      <w:pPr>
        <w:spacing w:after="0" w:before="80"/>
        <w:jc w:val="center"/>
      </w:pPr>
      <w:r>
        <w:rPr>
          <w:color w:val="777777"/>
          <w:sz w:val="22"/>
          <w:szCs w:val="22"/>
        </w:rPr>
        <w:t xml:space="preserve">Rio de Janeiro · 23 de abril de 2026</w:t>
      </w:r>
    </w:p>
    <w:p>
      <w:r>
        <w:br w:type="page"/>
      </w:r>
    </w:p>
    <w:p>
      <w:pPr>
        <w:pStyle w:val="Heading1"/>
        <w:pBdr>
          <w:bottom w:val="single" w:color="C9A84C" w:sz="8"/>
        </w:pBdr>
        <w:spacing w:after="240" w:before="480"/>
      </w:pPr>
      <w:r>
        <w:rPr>
          <w:b/>
          <w:bCs/>
          <w:color w:val="1F3864"/>
          <w:sz w:val="32"/>
          <w:szCs w:val="32"/>
        </w:rPr>
        <w:t xml:space="preserve">DOCUMENTO 1 — RELATÓRIO DE HANDOVER</w:t>
      </w:r>
    </w:p>
    <w:p>
      <w:pPr>
        <w:spacing w:after="80" w:before="80"/>
      </w:pPr>
      <w:r>
        <w:rPr>
          <w:sz w:val="22"/>
          <w:szCs w:val="22"/>
        </w:rPr>
        <w:t xml:space="preserve">Destinado ao corpo jurídico. Estilo Legal Design. Elaborado com base nas diretrizes estratégicas dos fundadores da V3 Partners Soluções Ltda para orientar a constituição da V3 Partners S.A.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1. SUMÁRIO EXECUTIVO E MODELO DE NEGÓCIO</w:t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1.1 Transição Societária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Campo</w:t>
            </w:r>
          </w:p>
        </w:tc>
        <w:tc>
          <w:tcPr>
            <w:tcW w:type="pct" w:w="7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Dado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Razão Social Atual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V3 Partners Soluções Ltda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CNPJ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14.219.287/0001-50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Sede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Rua Visconde de Pirajá, 414, Sala 718 — Ipanema, Rio de Janeiro/RJ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Transformação para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V3 Partners S.A. (capital fechado)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Base legal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Arts. 220–222 da Lei 6.404/76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Próximo passo imediato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3ª Alteração: inclusão do 4° sócio fundador (ainda como Ltda)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>Quadro societário atual (pré-3ª Alteração):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Sócio</w:t>
            </w:r>
          </w:p>
        </w:tc>
        <w:tc>
          <w:tcPr>
            <w:tcW w:type="pct" w:w="4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Função Executiva</w:t>
            </w:r>
          </w:p>
        </w:tc>
        <w:tc>
          <w:tcPr>
            <w:tcW w:type="pct" w:w="26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Participação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João Lemos Netto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Diretoria de Originação</w:t>
            </w:r>
          </w:p>
        </w:tc>
        <w:tc>
          <w:tcPr>
            <w:tcW w:type="pct" w:w="26%"/>
            <w:shd w:color="FFFFFF" w:val="clear"/>
          </w:tcPr>
          <w:p>
            <w:r>
              <w:rPr>
                <w:sz w:val="20"/>
                <w:szCs w:val="20"/>
              </w:rPr>
              <w:t xml:space="preserve">33,33%</w:t>
            </w:r>
          </w:p>
        </w:tc>
      </w:tr>
      <w:tr>
        <w:tc>
          <w:tcPr>
            <w:tcW w:type="pct" w:w="34%"/>
            <w:shd w:color="F2F2F2" w:val="solid"/>
          </w:tcPr>
          <w:p>
            <w:r>
              <w:rPr>
                <w:sz w:val="20"/>
                <w:szCs w:val="20"/>
              </w:rPr>
              <w:t xml:space="preserve">Hamilton Santos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Diretoria Institucional/Financeiro</w:t>
            </w:r>
          </w:p>
        </w:tc>
        <w:tc>
          <w:tcPr>
            <w:tcW w:type="pct" w:w="26%"/>
            <w:shd w:color="F2F2F2" w:val="solid"/>
          </w:tcPr>
          <w:p>
            <w:r>
              <w:rPr>
                <w:sz w:val="20"/>
                <w:szCs w:val="20"/>
              </w:rPr>
              <w:t xml:space="preserve">33,33%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Robson Lino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Diretoria de Compliance/Operações</w:t>
            </w:r>
          </w:p>
        </w:tc>
        <w:tc>
          <w:tcPr>
            <w:tcW w:type="pct" w:w="26%"/>
            <w:shd w:color="FFFFFF" w:val="clear"/>
          </w:tcPr>
          <w:p>
            <w:r>
              <w:rPr>
                <w:sz w:val="20"/>
                <w:szCs w:val="20"/>
              </w:rPr>
              <w:t xml:space="preserve">33,33%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1.2 Core Business</w:t>
      </w:r>
    </w:p>
    <w:p>
      <w:pPr>
        <w:spacing w:after="80" w:before="80"/>
      </w:pPr>
      <w:r>
        <w:rPr>
          <w:sz w:val="22"/>
          <w:szCs w:val="22"/>
        </w:rPr>
        <w:t xml:space="preserve">A V3 Partners opera como securitizadora multiproduto independente, não sujeita à autorização prévia do Banco Central para as atividades de securitização, nos termos da Lei 14.430/22 (Marco da Securitização).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Vertical</w:t>
            </w:r>
          </w:p>
        </w:tc>
        <w:tc>
          <w:tcPr>
            <w:tcW w:type="pct" w:w="5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Produtos</w:t>
            </w:r>
          </w:p>
        </w:tc>
        <w:tc>
          <w:tcPr>
            <w:tcW w:type="pct" w:w="2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Ticket Mín.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Securitização de Crédito e Recebíveis</w:t>
            </w:r>
          </w:p>
        </w:tc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CRI · CRA · FIDC · CGI · Recebíveis Judiciais · Precatórios</w:t>
            </w:r>
          </w:p>
        </w:tc>
        <w:tc>
          <w:tcPr>
            <w:tcW w:type="pct" w:w="20%"/>
            <w:shd w:color="FFFFFF" w:val="clear"/>
          </w:tcPr>
          <w:p>
            <w:r>
              <w:rPr>
                <w:sz w:val="20"/>
                <w:szCs w:val="20"/>
              </w:rPr>
              <w:t xml:space="preserve">R$500K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Real Estate Estruturado</w:t>
            </w:r>
          </w:p>
        </w:tc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SLB · BTS · BTR · CRI Imobiliário</w:t>
            </w:r>
          </w:p>
        </w:tc>
        <w:tc>
          <w:tcPr>
            <w:tcW w:type="pct" w:w="20%"/>
            <w:shd w:color="F2F2F2" w:val="solid"/>
          </w:tcPr>
          <w:p>
            <w:r>
              <w:rPr>
                <w:sz w:val="20"/>
                <w:szCs w:val="20"/>
              </w:rPr>
              <w:t xml:space="preserve">R$500K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Mineração, Metais e Commodities</w:t>
            </w:r>
          </w:p>
        </w:tc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Lítio · Ouro · Metais Estratégicos · OTC Cross-border</w:t>
            </w:r>
          </w:p>
        </w:tc>
        <w:tc>
          <w:tcPr>
            <w:tcW w:type="pct" w:w="20%"/>
            <w:shd w:color="FFFFFF" w:val="clear"/>
          </w:tcPr>
          <w:p>
            <w:r>
              <w:rPr>
                <w:sz w:val="20"/>
                <w:szCs w:val="20"/>
              </w:rPr>
              <w:t xml:space="preserve">Negociável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M&amp;A e Negócios Cross-Border</w:t>
            </w:r>
          </w:p>
        </w:tc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Buy-side · Sell-side · LLC EUA · Dollarização Patrimonial</w:t>
            </w:r>
          </w:p>
        </w:tc>
        <w:tc>
          <w:tcPr>
            <w:tcW w:type="pct" w:w="20%"/>
            <w:shd w:color="F2F2F2" w:val="solid"/>
          </w:tcPr>
          <w:p>
            <w:r>
              <w:rPr>
                <w:sz w:val="20"/>
                <w:szCs w:val="20"/>
              </w:rPr>
              <w:t xml:space="preserve">R$500K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EXCLUÍDO EXPRESSAMENTE: crédito pessoal e crédito consignado. Incluir cláusula restritiva no objeto social.</w:t>
      </w:r>
    </w:p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1.3 Integração Tecnológica Bloxs</w:t>
      </w:r>
    </w:p>
    <w:p>
      <w:pPr>
        <w:spacing w:after="80" w:before="80"/>
      </w:pPr>
      <w:r>
        <w:rPr>
          <w:sz w:val="22"/>
          <w:szCs w:val="22"/>
        </w:rPr>
        <w:t xml:space="preserve">A V3 Partners opera via infraestrutura White Label da Bloxs S.A., que provê: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Tokenização de ativos reais (RWA) — conformidade CVM Resoluções 88 e 160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KYC institucional e compliance COAF/PLD-FT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Liquidação OTC e cripto 24/7 (D+0)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Distribuição regulada de valores mobiliários</w:t>
      </w:r>
    </w:p>
    <w:p>
      <w:pPr>
        <w:spacing w:after="0" w:before="120"/>
      </w:pPr>
      <w:r>
        <w:t xml:space="preserve"/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AO JURÍDICO: Revisar contrato White Label com a Bloxs para adequação à nova razão social S.A. — verificar representação legal, poderes de assinatura e necessidade de aditivo.</w:t>
      </w:r>
    </w:p>
    <w:p>
      <w:r>
        <w:br w:type="pag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2. ARQUITETURA SOCIETÁRIA E OBJETO SOCIAL</w:t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2.1 CNAEs Estratégicos</w:t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VALIDAR COM ROBSON: Lista abaixo é proposta estratégica. CNAEs definitivos devem ser validados com contador e advogado regulatório antes do arquivamento na Junta Comercial.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CNAE</w:t>
            </w:r>
          </w:p>
        </w:tc>
        <w:tc>
          <w:tcPr>
            <w:tcW w:type="pct" w:w="4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Descrição</w:t>
            </w:r>
          </w:p>
        </w:tc>
        <w:tc>
          <w:tcPr>
            <w:tcW w:type="pct" w:w="37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pct" w:w="18%"/>
            <w:shd w:color="FFFFFF" w:val="clear"/>
          </w:tcPr>
          <w:p>
            <w:r>
              <w:rPr>
                <w:sz w:val="20"/>
                <w:szCs w:val="20"/>
              </w:rPr>
              <w:t xml:space="preserve">6499-9/99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Outras atividades de serviços financeiros n.e.</w:t>
            </w:r>
          </w:p>
        </w:tc>
        <w:tc>
          <w:tcPr>
            <w:tcW w:type="pct" w:w="37%"/>
            <w:shd w:color="FFFFFF" w:val="clear"/>
          </w:tcPr>
          <w:p>
            <w:r>
              <w:rPr>
                <w:sz w:val="20"/>
                <w:szCs w:val="20"/>
              </w:rPr>
              <w:t xml:space="preserve">Atividade principal — securitização</w:t>
            </w:r>
          </w:p>
        </w:tc>
      </w:tr>
      <w:tr>
        <w:tc>
          <w:tcPr>
            <w:tcW w:type="pct" w:w="18%"/>
            <w:shd w:color="F2F2F2" w:val="solid"/>
          </w:tcPr>
          <w:p>
            <w:r>
              <w:rPr>
                <w:sz w:val="20"/>
                <w:szCs w:val="20"/>
              </w:rPr>
              <w:t xml:space="preserve">6619-3/99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Outras atividades auxiliares dos serviços financeiros</w:t>
            </w:r>
          </w:p>
        </w:tc>
        <w:tc>
          <w:tcPr>
            <w:tcW w:type="pct" w:w="37%"/>
            <w:shd w:color="F2F2F2" w:val="solid"/>
          </w:tcPr>
          <w:p>
            <w:r>
              <w:rPr>
                <w:sz w:val="20"/>
                <w:szCs w:val="20"/>
              </w:rPr>
              <w:t xml:space="preserve">Originação e estruturação</w:t>
            </w:r>
          </w:p>
        </w:tc>
      </w:tr>
      <w:tr>
        <w:tc>
          <w:tcPr>
            <w:tcW w:type="pct" w:w="18%"/>
            <w:shd w:color="FFFFFF" w:val="clear"/>
          </w:tcPr>
          <w:p>
            <w:r>
              <w:rPr>
                <w:sz w:val="20"/>
                <w:szCs w:val="20"/>
              </w:rPr>
              <w:t xml:space="preserve">6619-3/01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Serviços de liquidação e custódia</w:t>
            </w:r>
          </w:p>
        </w:tc>
        <w:tc>
          <w:tcPr>
            <w:tcW w:type="pct" w:w="37%"/>
            <w:shd w:color="FFFFFF" w:val="clear"/>
          </w:tcPr>
          <w:p>
            <w:r>
              <w:rPr>
                <w:sz w:val="20"/>
                <w:szCs w:val="20"/>
              </w:rPr>
              <w:t xml:space="preserve">Infraestrutura OTC/tokenização</w:t>
            </w:r>
          </w:p>
        </w:tc>
      </w:tr>
      <w:tr>
        <w:tc>
          <w:tcPr>
            <w:tcW w:type="pct" w:w="18%"/>
            <w:shd w:color="F2F2F2" w:val="solid"/>
          </w:tcPr>
          <w:p>
            <w:r>
              <w:rPr>
                <w:sz w:val="20"/>
                <w:szCs w:val="20"/>
              </w:rPr>
              <w:t xml:space="preserve">7490-1/04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Intermediação e agenciamento de serviços</w:t>
            </w:r>
          </w:p>
        </w:tc>
        <w:tc>
          <w:tcPr>
            <w:tcW w:type="pct" w:w="37%"/>
            <w:shd w:color="F2F2F2" w:val="solid"/>
          </w:tcPr>
          <w:p>
            <w:r>
              <w:rPr>
                <w:sz w:val="20"/>
                <w:szCs w:val="20"/>
              </w:rPr>
              <w:t xml:space="preserve">M&amp;A nacional e cross-border</w:t>
            </w:r>
          </w:p>
        </w:tc>
      </w:tr>
      <w:tr>
        <w:tc>
          <w:tcPr>
            <w:tcW w:type="pct" w:w="18%"/>
            <w:shd w:color="FFFFFF" w:val="clear"/>
          </w:tcPr>
          <w:p>
            <w:r>
              <w:rPr>
                <w:sz w:val="20"/>
                <w:szCs w:val="20"/>
              </w:rPr>
              <w:t xml:space="preserve">6821-8/01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Corretagem na compra e venda de imóveis</w:t>
            </w:r>
          </w:p>
        </w:tc>
        <w:tc>
          <w:tcPr>
            <w:tcW w:type="pct" w:w="37%"/>
            <w:shd w:color="FFFFFF" w:val="clear"/>
          </w:tcPr>
          <w:p>
            <w:r>
              <w:rPr>
                <w:sz w:val="20"/>
                <w:szCs w:val="20"/>
              </w:rPr>
              <w:t xml:space="preserve">Vertical real estate estruturado</w:t>
            </w:r>
          </w:p>
        </w:tc>
      </w:tr>
      <w:tr>
        <w:tc>
          <w:tcPr>
            <w:tcW w:type="pct" w:w="18%"/>
            <w:shd w:color="F2F2F2" w:val="solid"/>
          </w:tcPr>
          <w:p>
            <w:r>
              <w:rPr>
                <w:sz w:val="20"/>
                <w:szCs w:val="20"/>
              </w:rPr>
              <w:t xml:space="preserve">0810-0/02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Extração e intermediação de minerais</w:t>
            </w:r>
          </w:p>
        </w:tc>
        <w:tc>
          <w:tcPr>
            <w:tcW w:type="pct" w:w="37%"/>
            <w:shd w:color="F2F2F2" w:val="solid"/>
          </w:tcPr>
          <w:p>
            <w:r>
              <w:rPr>
                <w:sz w:val="20"/>
                <w:szCs w:val="20"/>
              </w:rPr>
              <w:t xml:space="preserve">Vertical mineração e commodities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2.2 Objeto Social — Minuta com Blindagem Regulatória</w:t>
      </w:r>
    </w:p>
    <w:p>
      <w:pPr>
        <w:spacing w:after="80" w:before="80"/>
      </w:pPr>
      <w:r>
        <w:rPr>
          <w:sz w:val="22"/>
          <w:szCs w:val="22"/>
        </w:rPr>
        <w:t xml:space="preserve">Proposta de cláusula para revisão e aprovação pelo jurídico:</w:t>
      </w:r>
    </w:p>
    <w:p>
      <w:pPr>
        <w:spacing w:after="0" w:before="120"/>
      </w:pPr>
      <w:r>
        <w:t xml:space="preserve"/>
      </w:r>
    </w:p>
    <w:p>
      <w:pPr>
        <w:pBdr>
          <w:top w:val="single" w:color="C9A84C" w:sz="4"/>
          <w:bottom w:val="single" w:color="C9A84C" w:sz="4"/>
          <w:left w:val="single" w:color="C9A84C" w:sz="12"/>
          <w:right w:val="single" w:color="C9A84C" w:sz="4"/>
        </w:pBdr>
        <w:spacing w:after="120" w:before="120"/>
        <w:ind w:left="720" w:right="720"/>
      </w:pPr>
      <w:r>
        <w:rPr>
          <w:i/>
          <w:iCs/>
          <w:sz w:val="20"/>
          <w:szCs w:val="20"/>
        </w:rPr>
        <w:t xml:space="preserve">"A V3 Partners S.A. tem por objeto social: (i) a estruturação, originação e distribuição de operações de securitização de recebíveis imobiliários, financeiros e do agronegócio, incluindo a emissão de Certificados de Recebíveis Imobiliários (CRI), Certificados de Recebíveis do Agronegócio (CRA), Debêntures e Notas Comerciais, nos termos da Lei 14.430/22; (ii) a prestação de serviços de estruturação financeira, incluindo Project Finance, Sale-Leaseback, fusões e aquisições (M&amp;A) nacionais e internacionais; (iii) a intermediação de negócios envolvendo commodities, metais preciosos e minerais estratégicos, com liquidação cross-border; (iv) a prestação de serviços de tokenização de ativos reais (Real World Assets — RWA) e liquidação de ativos digitais, em conformidade com as Resoluções CVM 88 e 160; (v) o estabelecimento, co-gestão e participação em fundos de investimento estruturados nos segmentos imobiliário, agroindustrial e de crédito privado, nos termos da Resolução CVM 175; e (vi) quaisquer atividades acessórias ou conexas às anteriores, inclusive a participação em outras sociedades. A sociedade não exercerá atividades privativas de instituições financeiras autorizadas pelo Banco Central do Brasil, nos termos da Lei 4.595/64."</w:t>
      </w:r>
    </w:p>
    <w:p>
      <w:pPr>
        <w:spacing w:after="0" w:before="120"/>
      </w:pPr>
      <w:r>
        <w:t xml:space="preserve"/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BLINDAGEM OBRIGATÓRIA: A última sentença (Lei 4.595/64) deve permanecer intacta. Sua ausência expõe a empresa a questionamentos da CVM e do BACEN sobre captação pública não autorizada.</w:t>
      </w:r>
    </w:p>
    <w:p>
      <w:r>
        <w:br w:type="pag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3. GOVERNANÇA E ALÇADAS DE REPRESENTAÇÃO</w:t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3.1 Diretoria Executiva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Cadeira</w:t>
            </w:r>
          </w:p>
        </w:tc>
        <w:tc>
          <w:tcPr>
            <w:tcW w:type="pct" w:w="2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Titular</w:t>
            </w:r>
          </w:p>
        </w:tc>
        <w:tc>
          <w:tcPr>
            <w:tcW w:type="pct" w:w="4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Área de Autoridade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Diretoria de Originação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João Lemos Netto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Pipeline, ativos, produto, rede de partners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Diretoria Institucional/Financeiro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Hamilton Santos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Cross-border, câmbio, OTC, relações institucionais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Diretoria de Compliance/Operações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Robson Lino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Regulatório, KYC, COAF, contratos operacionais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3.2 Regras de Assinatura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Assinatura Isolada — qualquer diretor individualmente: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Contratos de prestação de serviços até R$500.000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Mandatos de assessoria em operações de originação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Documentos operacionais de câmbio e OTC (agilidade D+0)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Contratos com parceiros da rede V3 Partner / V3 Partner PRO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Correspondências institucionais e representações formais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Assinatura Conjunta — mínimo dois diretores obrigatoriamente: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Alienação ou oneração de qualquer ativo patrimonial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Emissão de valores mobiliários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Contratação de colaboradores, membros do Talent Pool e Advisors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Operações acima de R$500.000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Contratos com fundos de investimento co-geridos pela S.A.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Alterações estatutárias, convocação de assembleias, atas deliberativas</w:t>
      </w:r>
    </w:p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3.3 Conselho Consultivo — Advisory Board V3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Cadeira</w:t>
            </w:r>
          </w:p>
        </w:tc>
        <w:tc>
          <w:tcPr>
            <w:tcW w:type="pct" w:w="38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Perfil Desejado</w:t>
            </w:r>
          </w:p>
        </w:tc>
        <w:tc>
          <w:tcPr>
            <w:tcW w:type="pct" w:w="4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Remuneração</w:t>
            </w:r>
          </w:p>
        </w:tc>
      </w:tr>
      <w:tr>
        <w:tc>
          <w:tcPr>
            <w:tcW w:type="pct" w:w="22%"/>
            <w:shd w:color="FFFFFF" w:val="clear"/>
          </w:tcPr>
          <w:p>
            <w:r>
              <w:rPr>
                <w:sz w:val="20"/>
                <w:szCs w:val="20"/>
              </w:rPr>
              <w:t xml:space="preserve">Advisor Real Estate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Ex-executivo FII / incorporadora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Warrants 0,15% + fee por deal originado</w:t>
            </w:r>
          </w:p>
        </w:tc>
      </w:tr>
      <w:tr>
        <w:tc>
          <w:tcPr>
            <w:tcW w:type="pct" w:w="22%"/>
            <w:shd w:color="F2F2F2" w:val="solid"/>
          </w:tcPr>
          <w:p>
            <w:r>
              <w:rPr>
                <w:sz w:val="20"/>
                <w:szCs w:val="20"/>
              </w:rPr>
              <w:t xml:space="preserve">Advisor Agronegócio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Operador de trading agrícola / exportação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Warrants 0,15% + fee por deal</w:t>
            </w:r>
          </w:p>
        </w:tc>
      </w:tr>
      <w:tr>
        <w:tc>
          <w:tcPr>
            <w:tcW w:type="pct" w:w="22%"/>
            <w:shd w:color="FFFFFF" w:val="clear"/>
          </w:tcPr>
          <w:p>
            <w:r>
              <w:rPr>
                <w:sz w:val="20"/>
                <w:szCs w:val="20"/>
              </w:rPr>
              <w:t xml:space="preserve">Advisor Mineração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Especialista em metais críticos e exportação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Warrants 0,15% + fee por deal</w:t>
            </w:r>
          </w:p>
        </w:tc>
      </w:tr>
      <w:tr>
        <w:tc>
          <w:tcPr>
            <w:tcW w:type="pct" w:w="22%"/>
            <w:shd w:color="F2F2F2" w:val="solid"/>
          </w:tcPr>
          <w:p>
            <w:r>
              <w:rPr>
                <w:sz w:val="20"/>
                <w:szCs w:val="20"/>
              </w:rPr>
              <w:t xml:space="preserve">Advisor M&amp;A Cross-Border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Ex-banqueiro de investimento (Ásia/EUA)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Warrants 0,20% + fee por deal</w:t>
            </w:r>
          </w:p>
        </w:tc>
      </w:tr>
      <w:tr>
        <w:tc>
          <w:tcPr>
            <w:tcW w:type="pct" w:w="22%"/>
            <w:shd w:color="FFFFFF" w:val="clear"/>
          </w:tcPr>
          <w:p>
            <w:r>
              <w:rPr>
                <w:sz w:val="20"/>
                <w:szCs w:val="20"/>
              </w:rPr>
              <w:t xml:space="preserve">Advisor Jurídico/Regulatório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Especialista CVM/BACEN/securitização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Retainer mensal + bônus por emissão</w:t>
            </w:r>
          </w:p>
        </w:tc>
      </w:tr>
      <w:tr>
        <w:tc>
          <w:tcPr>
            <w:tcW w:type="pct" w:w="22%"/>
            <w:shd w:color="F2F2F2" w:val="solid"/>
          </w:tcPr>
          <w:p>
            <w:r>
              <w:rPr>
                <w:sz w:val="20"/>
                <w:szCs w:val="20"/>
              </w:rPr>
              <w:t xml:space="preserve">Advisor Tecnologia/Blockchain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Ex-CTO de fintech regulada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Warrants 0,20% + participação em produto tech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sz w:val="22"/>
          <w:szCs w:val="22"/>
        </w:rPr>
        <w:t xml:space="preserve">Regras de warrant para Advisors: total 0,85% do capital social (parte do pool de 5%) · Vesting 24 meses · Cliff 6 meses · Condicional: mínimo 1 deal por semestre ativo.</w:t>
      </w:r>
    </w:p>
    <w:p>
      <w:r>
        <w:br w:type="pag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4. DIRETRIZES PARA O ACORDO DE SÓCIOS</w:t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4.1 Cláusulas Sensíveis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Cláusula</w:t>
            </w:r>
          </w:p>
        </w:tc>
        <w:tc>
          <w:tcPr>
            <w:tcW w:type="pct" w:w="38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Parâmetro</w:t>
            </w:r>
          </w:p>
        </w:tc>
        <w:tc>
          <w:tcPr>
            <w:tcW w:type="pct" w:w="4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pct" w:w="20%"/>
            <w:shd w:color="FFFFFF" w:val="clear"/>
          </w:tcPr>
          <w:p>
            <w:r>
              <w:rPr>
                <w:sz w:val="20"/>
                <w:szCs w:val="20"/>
              </w:rPr>
              <w:t xml:space="preserve">Lock-up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60 meses a partir do Estatuto Social</w:t>
            </w:r>
          </w:p>
        </w:tc>
        <w:tc>
          <w:tcPr>
            <w:tcW w:type="pct" w:w="42%"/>
            <w:shd w:color="FFFFFF" w:val="clear"/>
          </w:tcPr>
          <w:p>
            <w:r>
              <w:rPr>
                <w:sz w:val="20"/>
                <w:szCs w:val="20"/>
              </w:rPr>
              <w:t xml:space="preserve">Exceção: alienação entre sócios (direito de preferência)</w:t>
            </w:r>
          </w:p>
        </w:tc>
      </w:tr>
      <w:tr>
        <w:tc>
          <w:tcPr>
            <w:tcW w:type="pct" w:w="20%"/>
            <w:shd w:color="F2F2F2" w:val="solid"/>
          </w:tcPr>
          <w:p>
            <w:r>
              <w:rPr>
                <w:sz w:val="20"/>
                <w:szCs w:val="20"/>
              </w:rPr>
              <w:t xml:space="preserve">Drag Along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2/3 do capital votante para arrastar</w:t>
            </w:r>
          </w:p>
        </w:tc>
        <w:tc>
          <w:tcPr>
            <w:tcW w:type="pct" w:w="42%"/>
            <w:shd w:color="F2F2F2" w:val="solid"/>
          </w:tcPr>
          <w:p>
            <w:r>
              <w:rPr>
                <w:sz w:val="20"/>
                <w:szCs w:val="20"/>
              </w:rPr>
              <w:t xml:space="preserve">Valor mínimo de saída: 3x EBITDA auditado (12 meses)</w:t>
            </w:r>
          </w:p>
        </w:tc>
      </w:tr>
      <w:tr>
        <w:tc>
          <w:tcPr>
            <w:tcW w:type="pct" w:w="20%"/>
            <w:shd w:color="FFFFFF" w:val="clear"/>
          </w:tcPr>
          <w:p>
            <w:r>
              <w:rPr>
                <w:sz w:val="20"/>
                <w:szCs w:val="20"/>
              </w:rPr>
              <w:t xml:space="preserve">Tag Along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Todo acionista tem direito nas mesmas condições</w:t>
            </w:r>
          </w:p>
        </w:tc>
        <w:tc>
          <w:tcPr>
            <w:tcW w:type="pct" w:w="42%"/>
            <w:shd w:color="FFFFFF" w:val="clear"/>
          </w:tcPr>
          <w:p>
            <w:r>
              <w:rPr>
                <w:sz w:val="20"/>
                <w:szCs w:val="20"/>
              </w:rPr>
              <w:t xml:space="preserve">Aplicável a transferências &gt; 10% do capital social</w:t>
            </w:r>
          </w:p>
        </w:tc>
      </w:tr>
      <w:tr>
        <w:tc>
          <w:tcPr>
            <w:tcW w:type="pct" w:w="20%"/>
            <w:shd w:color="F2F2F2" w:val="solid"/>
          </w:tcPr>
          <w:p>
            <w:r>
              <w:rPr>
                <w:sz w:val="20"/>
                <w:szCs w:val="20"/>
              </w:rPr>
              <w:t xml:space="preserve">Non-compete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36 meses após desligamento</w:t>
            </w:r>
          </w:p>
        </w:tc>
        <w:tc>
          <w:tcPr>
            <w:tcW w:type="pct" w:w="42%"/>
            <w:shd w:color="F2F2F2" w:val="solid"/>
          </w:tcPr>
          <w:p>
            <w:r>
              <w:rPr>
                <w:sz w:val="20"/>
                <w:szCs w:val="20"/>
              </w:rPr>
              <w:t xml:space="preserve">Âmbito: securitização, M&amp;A, tokenização no Brasil</w:t>
            </w:r>
          </w:p>
        </w:tc>
      </w:tr>
      <w:tr>
        <w:tc>
          <w:tcPr>
            <w:tcW w:type="pct" w:w="20%"/>
            <w:shd w:color="FFFFFF" w:val="clear"/>
          </w:tcPr>
          <w:p>
            <w:r>
              <w:rPr>
                <w:sz w:val="20"/>
                <w:szCs w:val="20"/>
              </w:rPr>
              <w:t xml:space="preserve">Non-compete — Penalidade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Devolução pró-rata + multa 12x pró-labore</w:t>
            </w:r>
          </w:p>
        </w:tc>
        <w:tc>
          <w:tcPr>
            <w:tcW w:type="pct" w:w="42%"/>
            <w:shd w:color="FFFFFF" w:val="clear"/>
          </w:tcPr>
          <w:p>
            <w:r>
              <w:rPr>
                <w:sz w:val="20"/>
                <w:szCs w:val="20"/>
              </w:rPr>
              <w:t xml:space="preserve">Incluir cláusula penal expressa no Acordo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4.2 Plano Sucessório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Instrumento recomendado: Seguro de Vida Internacional (IUL — Indexed Universal Life)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Contratado individualmente por cada sócio fundador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Beneficiário: herdeiros do sócio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Valor segurado: valuation da participação (laudo anual)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Objetivo: liquidez aos herdeiros sem entrada na gestão operacional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Regra de Sucessão Executiva Meritocrática: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Vacância preenchida por membro do Talent Pool com melhor avaliação (12 meses anteriores)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Substituto assume função executiva — não adquire ações do predecessor automaticamente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Aprovação: unanimidade dos diretores remanescentes + Advisory Board</w:t>
      </w:r>
    </w:p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4.3 Laudo de Avaliação — Ação Urgente</w:t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AÇÃO PRIORITÁRIA: Contratar laudo de avaliação patrimonial da V3 Partners Soluções Ltda ANTES da 4ª Alteração. O laudo estabelece o valor base para conversão de quotas em ações. Sem o laudo, a Receita Federal pode contestar o valor de conversão. Avaliadora deve ser registrada no CFC.</w:t>
      </w:r>
    </w:p>
    <w:p>
      <w:r>
        <w:br w:type="pag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5. PROGRAMA DE TALENT POOL — CICLO I</w:t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5.1 Tese do Unit Pool Coletivo</w:t>
      </w:r>
    </w:p>
    <w:p>
      <w:pPr>
        <w:spacing w:after="80" w:before="80"/>
      </w:pPr>
      <w:r>
        <w:rPr>
          <w:sz w:val="22"/>
          <w:szCs w:val="22"/>
        </w:rPr>
        <w:t xml:space="preserve">Base legal: Art. 168, §3° da Lei 6.404/76 — autoriza emissão de opções de subscrição de ações para administradores, empregados e prestadores de serviços, sem direito de preferência dos acionistas existentes.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Parâmetro</w:t>
            </w:r>
          </w:p>
        </w:tc>
        <w:tc>
          <w:tcPr>
            <w:tcW w:type="pct" w:w="7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Pool total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5% do capital social da V3 Partners S.A.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Instrumento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Opções de subscrição (warrants de empregado)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Preço de exercício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Valor patrimonial por ação na data de concessão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Liberação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1% ao ano ao longo de 60 meses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Benchmarks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Goldman Sachs (10–15% carried interest) · BTG Pactual (5–8% seniores)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5.2 Regras de Cliff e Vesting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Fase</w:t>
            </w:r>
          </w:p>
        </w:tc>
        <w:tc>
          <w:tcPr>
            <w:tcW w:type="pct" w:w="1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Período</w:t>
            </w:r>
          </w:p>
        </w:tc>
        <w:tc>
          <w:tcPr>
            <w:tcW w:type="pct" w:w="4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Condição</w:t>
            </w:r>
          </w:p>
        </w:tc>
        <w:tc>
          <w:tcPr>
            <w:tcW w:type="pct" w:w="2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Equity Liberado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Cliff</w:t>
            </w:r>
          </w:p>
        </w:tc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Meses 0–12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Permanência + aprovação em avaliação semestral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Vest Ano 1</w:t>
            </w:r>
          </w:p>
        </w:tc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Mês 13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Liberação retroativa pós-cliff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1,00% do pool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Vest Ano 2</w:t>
            </w:r>
          </w:p>
        </w:tc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Mês 25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Avaliação anual aprovada + KPIs atingidos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1,00% do pool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Vest Ano 3</w:t>
            </w:r>
          </w:p>
        </w:tc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Mês 37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Avaliação anual aprovada + KPIs atingidos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1,00% do pool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Vest Ano 4</w:t>
            </w:r>
          </w:p>
        </w:tc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Mês 49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Avaliação anual aprovada + KPIs atingidos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1,00% do pool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Vest Ano 5</w:t>
            </w:r>
          </w:p>
        </w:tc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Mês 61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Avaliação final de ciclo completo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1,00% do pool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Aceleração de Vesting: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Evento de liquidez (venda, IPO, fusão): vest integral imediato para todos os membros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Saída sem justa causa por iniciativa da empresa: vest proporcional ao tempo trabalhado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Desligamento voluntário antes do cliff: zero — sem exceção</w:t>
      </w:r>
    </w:p>
    <w:p>
      <w:pPr>
        <w:spacing w:after="0" w:before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3864"/>
          <w:sz w:val="22"/>
          <w:szCs w:val="22"/>
        </w:rPr>
        <w:t xml:space="preserve">5.3 Alocação por Cargo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Cargo</w:t>
            </w:r>
          </w:p>
        </w:tc>
        <w:tc>
          <w:tcPr>
            <w:tcW w:type="pct" w:w="2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% do Pool (5%)</w:t>
            </w:r>
          </w:p>
        </w:tc>
        <w:tc>
          <w:tcPr>
            <w:tcW w:type="pct" w:w="2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% Individual do Pool</w:t>
            </w:r>
          </w:p>
        </w:tc>
      </w:tr>
      <w:tr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Head de Ativos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0,60%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12,0%</w:t>
            </w:r>
          </w:p>
        </w:tc>
      </w:tr>
      <w:tr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Head de Tecnologia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0,60%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12,0%</w:t>
            </w:r>
          </w:p>
        </w:tc>
      </w:tr>
      <w:tr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Head Financeiro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0,50%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10,0%</w:t>
            </w:r>
          </w:p>
        </w:tc>
      </w:tr>
      <w:tr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Head de Agronegócios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0,40%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8,0%</w:t>
            </w:r>
          </w:p>
        </w:tc>
      </w:tr>
      <w:tr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Head Precatórios/Direito Creditório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0,40%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8,0%</w:t>
            </w:r>
          </w:p>
        </w:tc>
      </w:tr>
      <w:tr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Head de Mineração e Commodities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0,40%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8,0%</w:t>
            </w:r>
          </w:p>
        </w:tc>
      </w:tr>
      <w:tr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Analista M&amp;A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0,25%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5,0%</w:t>
            </w:r>
          </w:p>
        </w:tc>
      </w:tr>
      <w:tr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Analista Financeiro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0,20%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4,0%</w:t>
            </w:r>
          </w:p>
        </w:tc>
      </w:tr>
      <w:tr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Analista de Agronegócio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0,20%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4,0%</w:t>
            </w:r>
          </w:p>
        </w:tc>
      </w:tr>
      <w:tr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Auxiliar Jurídico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0,15%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3,0%</w:t>
            </w:r>
          </w:p>
        </w:tc>
      </w:tr>
      <w:tr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Auxiliar de Logística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0,10%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2,0%</w:t>
            </w:r>
          </w:p>
        </w:tc>
      </w:tr>
      <w:tr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Advisors (6 cadeiras)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0,85%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17,0%</w:t>
            </w:r>
          </w:p>
        </w:tc>
      </w:tr>
      <w:tr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Reserva (novos ingressantes)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0,35%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7,0%</w:t>
            </w:r>
          </w:p>
        </w:tc>
      </w:tr>
      <w:tr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TOTAL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5,00%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100%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VALIDAR COM ROBSON: KPIs financeiros devem ser calibrados após aprovação do orçamento do 1° ano. Não incluir no contrato de opções métricas não auditáveis.</w:t>
      </w:r>
    </w:p>
    <w:p>
      <w:r>
        <w:br w:type="pag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6. FONTES E REFERÊNCIAS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Fonte</w:t>
            </w:r>
          </w:p>
        </w:tc>
        <w:tc>
          <w:tcPr>
            <w:tcW w:type="pct" w:w="6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Aplicação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Lei 6.404/76 — Lei das S.A.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Transformação societária, opções (art. 168 §3°), governance (arts. 220–222)</w:t>
            </w:r>
          </w:p>
        </w:tc>
      </w:tr>
      <w:tr>
        <w:tc>
          <w:tcPr>
            <w:tcW w:type="pct" w:w="35%"/>
            <w:shd w:color="F2F2F2" w:val="solid"/>
          </w:tcPr>
          <w:p>
            <w:r>
              <w:rPr>
                <w:sz w:val="20"/>
                <w:szCs w:val="20"/>
              </w:rPr>
              <w:t xml:space="preserve">Lei 9.514/97</w:t>
            </w:r>
          </w:p>
        </w:tc>
        <w:tc>
          <w:tcPr>
            <w:tcW w:type="pct" w:w="65%"/>
            <w:shd w:color="F2F2F2" w:val="solid"/>
          </w:tcPr>
          <w:p>
            <w:r>
              <w:rPr>
                <w:sz w:val="20"/>
                <w:szCs w:val="20"/>
              </w:rPr>
              <w:t xml:space="preserve">Securitização imobiliária — CRI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Lei 14.430/22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Marco da Securitização — CRI, CRA, debêntures, notas comerciais</w:t>
            </w:r>
          </w:p>
        </w:tc>
      </w:tr>
      <w:tr>
        <w:tc>
          <w:tcPr>
            <w:tcW w:type="pct" w:w="35%"/>
            <w:shd w:color="F2F2F2" w:val="solid"/>
          </w:tcPr>
          <w:p>
            <w:r>
              <w:rPr>
                <w:sz w:val="20"/>
                <w:szCs w:val="20"/>
              </w:rPr>
              <w:t xml:space="preserve">Lei 14.130/21</w:t>
            </w:r>
          </w:p>
        </w:tc>
        <w:tc>
          <w:tcPr>
            <w:tcW w:type="pct" w:w="65%"/>
            <w:shd w:color="F2F2F2" w:val="solid"/>
          </w:tcPr>
          <w:p>
            <w:r>
              <w:rPr>
                <w:sz w:val="20"/>
                <w:szCs w:val="20"/>
              </w:rPr>
              <w:t xml:space="preserve">FIAGRO — Fundos nas Cadeias Produtivas Agroindustriais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Lei 8.668/93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Fundos de Investimento Imobiliário (FII)</w:t>
            </w:r>
          </w:p>
        </w:tc>
      </w:tr>
      <w:tr>
        <w:tc>
          <w:tcPr>
            <w:tcW w:type="pct" w:w="35%"/>
            <w:shd w:color="F2F2F2" w:val="solid"/>
          </w:tcPr>
          <w:p>
            <w:r>
              <w:rPr>
                <w:sz w:val="20"/>
                <w:szCs w:val="20"/>
              </w:rPr>
              <w:t xml:space="preserve">Lei 4.595/64</w:t>
            </w:r>
          </w:p>
        </w:tc>
        <w:tc>
          <w:tcPr>
            <w:tcW w:type="pct" w:w="65%"/>
            <w:shd w:color="F2F2F2" w:val="solid"/>
          </w:tcPr>
          <w:p>
            <w:r>
              <w:rPr>
                <w:sz w:val="20"/>
                <w:szCs w:val="20"/>
              </w:rPr>
              <w:t xml:space="preserve">Atividades privativas de instituições autorizadas pelo BACEN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CVM Resolução 88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Ofertas públicas via crowdfunding equity — Bloxs</w:t>
            </w:r>
          </w:p>
        </w:tc>
      </w:tr>
      <w:tr>
        <w:tc>
          <w:tcPr>
            <w:tcW w:type="pct" w:w="35%"/>
            <w:shd w:color="F2F2F2" w:val="solid"/>
          </w:tcPr>
          <w:p>
            <w:r>
              <w:rPr>
                <w:sz w:val="20"/>
                <w:szCs w:val="20"/>
              </w:rPr>
              <w:t xml:space="preserve">CVM Resolução 160</w:t>
            </w:r>
          </w:p>
        </w:tc>
        <w:tc>
          <w:tcPr>
            <w:tcW w:type="pct" w:w="65%"/>
            <w:shd w:color="F2F2F2" w:val="solid"/>
          </w:tcPr>
          <w:p>
            <w:r>
              <w:rPr>
                <w:sz w:val="20"/>
                <w:szCs w:val="20"/>
              </w:rPr>
              <w:t xml:space="preserve">Ofertas públicas de valores mobiliários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CVM Resolução 175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Fundos de investimento — FII, FIP, FIDC, FIAGRO</w:t>
            </w:r>
          </w:p>
        </w:tc>
      </w:tr>
      <w:tr>
        <w:tc>
          <w:tcPr>
            <w:tcW w:type="pct" w:w="35%"/>
            <w:shd w:color="F2F2F2" w:val="solid"/>
          </w:tcPr>
          <w:p>
            <w:r>
              <w:rPr>
                <w:sz w:val="20"/>
                <w:szCs w:val="20"/>
              </w:rPr>
              <w:t xml:space="preserve">Goldman Sachs / BTG</w:t>
            </w:r>
          </w:p>
        </w:tc>
        <w:tc>
          <w:tcPr>
            <w:tcW w:type="pct" w:w="65%"/>
            <w:shd w:color="F2F2F2" w:val="solid"/>
          </w:tcPr>
          <w:p>
            <w:r>
              <w:rPr>
                <w:sz w:val="20"/>
                <w:szCs w:val="20"/>
              </w:rPr>
              <w:t xml:space="preserve">Benchmarks de planos de carried interest e co-investimento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/>
        </w:pBdr>
        <w:spacing w:after="240" w:before="480"/>
      </w:pPr>
      <w:r>
        <w:rPr>
          <w:b/>
          <w:bCs/>
          <w:color w:val="1F3864"/>
          <w:sz w:val="32"/>
          <w:szCs w:val="32"/>
        </w:rPr>
        <w:t xml:space="preserve">DOCUMENTO 2 — ESTRUTURA DE CONTATO E GOVERNANÇA DA S.A.</w:t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2.1 Canais Externos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Canal</w:t>
            </w:r>
          </w:p>
        </w:tc>
        <w:tc>
          <w:tcPr>
            <w:tcW w:type="pct" w:w="2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Responsável</w:t>
            </w:r>
          </w:p>
        </w:tc>
        <w:tc>
          <w:tcPr>
            <w:tcW w:type="pct" w:w="4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v3partners.com.br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João (Originação)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Institucional, captação de partners, produto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contato@v3partners.com.br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Operações (Robson)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Inbound geral, triagem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estruturacao@v3partners.com.br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Originação (João)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Mandatos, deals, estruturação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financeiro@v3partners.com.br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Financeiro (Hamilton)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Cross-border, OTC, investidores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compliance@v3partners.com.br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Compliance (Robson)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KYC, COAF, regulatório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ir@v3partners.com.br</w:t>
            </w:r>
          </w:p>
        </w:tc>
        <w:tc>
          <w:tcPr>
            <w:tcW w:type="pct" w:w="25%"/>
            <w:shd w:color="F2F2F2" w:val="solid"/>
          </w:tcPr>
          <w:p>
            <w:r>
              <w:rPr>
                <w:sz w:val="20"/>
                <w:szCs w:val="20"/>
              </w:rPr>
              <w:t xml:space="preserve">Financeiro (Hamilton)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Investor Relations — acionistas e fundos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LinkedIn V3 Partners</w:t>
            </w:r>
          </w:p>
        </w:tc>
        <w:tc>
          <w:tcPr>
            <w:tcW w:type="pct" w:w="25%"/>
            <w:shd w:color="FFFFFF" w:val="clear"/>
          </w:tcPr>
          <w:p>
            <w:r>
              <w:rPr>
                <w:sz w:val="20"/>
                <w:szCs w:val="20"/>
              </w:rPr>
              <w:t xml:space="preserve">Marketing / João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Institucional, conteúdo, geração de leads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2.2 Protocolo de Investor Relations (IR)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Relatório de resultado semestral para acionistas e Conselho de Advisors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Reunião anual de resultado (AGO — Assembleia Geral Ordinária)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Canal exclusivo: ir@v3partners.com.br (responsável: Hamilton)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Laudo de avaliação anual compartilhado com todos os acionistas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2.3 Organograma de Reporte Interno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Nível</w:t>
            </w:r>
          </w:p>
        </w:tc>
        <w:tc>
          <w:tcPr>
            <w:tcW w:type="pct" w:w="4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Cargo / Função</w:t>
            </w:r>
          </w:p>
        </w:tc>
        <w:tc>
          <w:tcPr>
            <w:tcW w:type="pct" w:w="4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Para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Conselho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Advisory Board (6 cadeiras)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Diretoria Executiva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Diretoria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João Lemos Netto — Originação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Pares / Assembleia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Diretoria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Hamilton Santos — Financeiro/Institucional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Pares / Assembleia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Diretoria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Robson Lino — Compliance/Operações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Pares / Assembleia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Head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Head de Ativos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João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Head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Head de Tecnologia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João + Hamilton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Head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Head Financeiro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Hamilton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Head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Head de Agronegócios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João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Head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Head Precatórios/Direito Creditório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João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Head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Head de Mineração e Commodities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João + Hamilton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Analista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Analista M&amp;A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Head de Ativos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Analista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Analista Financeiro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Head Financeiro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Analista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Analista de Agronegócio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Head de Agronegócios</w:t>
            </w:r>
          </w:p>
        </w:tc>
      </w:tr>
      <w:tr>
        <w:tc>
          <w:tcPr>
            <w:tcW w:type="pct" w:w="15%"/>
            <w:shd w:color="F2F2F2" w:val="solid"/>
          </w:tcPr>
          <w:p>
            <w:r>
              <w:rPr>
                <w:sz w:val="20"/>
                <w:szCs w:val="20"/>
              </w:rPr>
              <w:t xml:space="preserve">Auxiliar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Auxiliar Jurídico</w:t>
            </w:r>
          </w:p>
        </w:tc>
        <w:tc>
          <w:tcPr>
            <w:tcW w:type="pct" w:w="40%"/>
            <w:shd w:color="F2F2F2" w:val="solid"/>
          </w:tcPr>
          <w:p>
            <w:r>
              <w:rPr>
                <w:sz w:val="20"/>
                <w:szCs w:val="20"/>
              </w:rPr>
              <w:t xml:space="preserve">Robson (Compliance)</w:t>
            </w:r>
          </w:p>
        </w:tc>
      </w:tr>
      <w:tr>
        <w:tc>
          <w:tcPr>
            <w:tcW w:type="pct" w:w="15%"/>
            <w:shd w:color="FFFFFF" w:val="clear"/>
          </w:tcPr>
          <w:p>
            <w:r>
              <w:rPr>
                <w:sz w:val="20"/>
                <w:szCs w:val="20"/>
              </w:rPr>
              <w:t xml:space="preserve">Auxiliar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Auxiliar de Logística</w:t>
            </w:r>
          </w:p>
        </w:tc>
        <w:tc>
          <w:tcPr>
            <w:tcW w:type="pct" w:w="40%"/>
            <w:shd w:color="FFFFFF" w:val="clear"/>
          </w:tcPr>
          <w:p>
            <w:r>
              <w:rPr>
                <w:sz w:val="20"/>
                <w:szCs w:val="20"/>
              </w:rPr>
              <w:t xml:space="preserve">Robson (Operações)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2.4 Contato com Reguladores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Órgão</w:t>
            </w:r>
          </w:p>
        </w:tc>
        <w:tc>
          <w:tcPr>
            <w:tcW w:type="pct" w:w="3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Responsável na V3</w:t>
            </w:r>
          </w:p>
        </w:tc>
        <w:tc>
          <w:tcPr>
            <w:tcW w:type="pct" w:w="5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Tipo de Interação</w:t>
            </w:r>
          </w:p>
        </w:tc>
      </w:tr>
      <w:tr>
        <w:tc>
          <w:tcPr>
            <w:tcW w:type="pct" w:w="20%"/>
            <w:shd w:color="FFFFFF" w:val="clear"/>
          </w:tcPr>
          <w:p>
            <w:r>
              <w:rPr>
                <w:sz w:val="20"/>
                <w:szCs w:val="20"/>
              </w:rPr>
              <w:t xml:space="preserve">CVM</w:t>
            </w:r>
          </w:p>
        </w:tc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Robson Lino</w:t>
            </w:r>
          </w:p>
        </w:tc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Cadastros, notificações, emissões de fundos</w:t>
            </w:r>
          </w:p>
        </w:tc>
      </w:tr>
      <w:tr>
        <w:tc>
          <w:tcPr>
            <w:tcW w:type="pct" w:w="20%"/>
            <w:shd w:color="F2F2F2" w:val="solid"/>
          </w:tcPr>
          <w:p>
            <w:r>
              <w:rPr>
                <w:sz w:val="20"/>
                <w:szCs w:val="20"/>
              </w:rPr>
              <w:t xml:space="preserve">BACEN</w:t>
            </w:r>
          </w:p>
        </w:tc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Robson + Hamilton</w:t>
            </w:r>
          </w:p>
        </w:tc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Câmbio, OTC, autorizações</w:t>
            </w:r>
          </w:p>
        </w:tc>
      </w:tr>
      <w:tr>
        <w:tc>
          <w:tcPr>
            <w:tcW w:type="pct" w:w="20%"/>
            <w:shd w:color="FFFFFF" w:val="clear"/>
          </w:tcPr>
          <w:p>
            <w:r>
              <w:rPr>
                <w:sz w:val="20"/>
                <w:szCs w:val="20"/>
              </w:rPr>
              <w:t xml:space="preserve">COAF</w:t>
            </w:r>
          </w:p>
        </w:tc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Robson Lino</w:t>
            </w:r>
          </w:p>
        </w:tc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Comunicações de PLD/FT (obrigatório)</w:t>
            </w:r>
          </w:p>
        </w:tc>
      </w:tr>
      <w:tr>
        <w:tc>
          <w:tcPr>
            <w:tcW w:type="pct" w:w="20%"/>
            <w:shd w:color="F2F2F2" w:val="solid"/>
          </w:tcPr>
          <w:p>
            <w:r>
              <w:rPr>
                <w:sz w:val="20"/>
                <w:szCs w:val="20"/>
              </w:rPr>
              <w:t xml:space="preserve">Receita Federal</w:t>
            </w:r>
          </w:p>
        </w:tc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Contador externo + Robson</w:t>
            </w:r>
          </w:p>
        </w:tc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Obrigações acessórias, SPED</w:t>
            </w:r>
          </w:p>
        </w:tc>
      </w:tr>
      <w:tr>
        <w:tc>
          <w:tcPr>
            <w:tcW w:type="pct" w:w="20%"/>
            <w:shd w:color="FFFFFF" w:val="clear"/>
          </w:tcPr>
          <w:p>
            <w:r>
              <w:rPr>
                <w:sz w:val="20"/>
                <w:szCs w:val="20"/>
              </w:rPr>
              <w:t xml:space="preserve">Junta Comercial RJ</w:t>
            </w:r>
          </w:p>
        </w:tc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Advogado externo + Robson</w:t>
            </w:r>
          </w:p>
        </w:tc>
        <w:tc>
          <w:tcPr>
            <w:tcW w:type="pct" w:w="50%"/>
            <w:shd w:color="FFFFFF" w:val="clear"/>
          </w:tcPr>
          <w:p>
            <w:r>
              <w:rPr>
                <w:sz w:val="20"/>
                <w:szCs w:val="20"/>
              </w:rPr>
              <w:t xml:space="preserve">Alterações contratuais, registros societários</w:t>
            </w:r>
          </w:p>
        </w:tc>
      </w:tr>
      <w:tr>
        <w:tc>
          <w:tcPr>
            <w:tcW w:type="pct" w:w="20%"/>
            <w:shd w:color="F2F2F2" w:val="solid"/>
          </w:tcPr>
          <w:p>
            <w:r>
              <w:rPr>
                <w:sz w:val="20"/>
                <w:szCs w:val="20"/>
              </w:rPr>
              <w:t xml:space="preserve">ANM</w:t>
            </w:r>
          </w:p>
        </w:tc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Head de Mineração + Robson</w:t>
            </w:r>
          </w:p>
        </w:tc>
        <w:tc>
          <w:tcPr>
            <w:tcW w:type="pct" w:w="50%"/>
            <w:shd w:color="F2F2F2" w:val="solid"/>
          </w:tcPr>
          <w:p>
            <w:r>
              <w:rPr>
                <w:sz w:val="20"/>
                <w:szCs w:val="20"/>
              </w:rPr>
              <w:t xml:space="preserve">Licenças de mineração e exportação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/>
        </w:pBdr>
        <w:spacing w:after="240" w:before="480"/>
      </w:pPr>
      <w:r>
        <w:rPr>
          <w:b/>
          <w:bCs/>
          <w:color w:val="1F3864"/>
          <w:sz w:val="32"/>
          <w:szCs w:val="32"/>
        </w:rPr>
        <w:t xml:space="preserve">DOCUMENTO 3 — JOB DESCRIPTIONS — 11 POSIÇÕES</w:t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1. HEAD DE ATIVOS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Liderar a originação, qualificação e estruturação de ativos nas quatro verticais da V3, garantindo o fluxo contínuo de mandatos e o pipeline de R$4,4B+ mapeado.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Mapear, qualificar e priorizar oportunidades de ativos nas verticicais de crédito, real estate, mineração e M&amp;A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Conduzir reuniões de originação com clientes, empresas e investidores institucionais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Elaborar Information Memoranda (IM) e teasers para mandatos ativos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Coordenar Analista de M&amp;A e demais analistas de originação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Manter pipeline atualizado e reportar semanalmente à Diretoria de Originação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Representar a V3 em eventos do mercado financeiro e de capitais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5 anos em estruturação financeira, M&amp;A ou mercado de capitais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Conhecimento em: FIDC, CRI, CRA, debêntures, M&amp;A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Rede estabelecida com empresas de médio porte (R$50M–R$500M de receita)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Graduação em Economia, Administração ou Engenharia — pós-graduação desejável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Volume de deals originados por trimestre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Conversão de reuniões em mandatos assinados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Qualidade dos IMs entregues (avaliação interna)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Diretor de Originação (João Lemos Netto)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0,60%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2. HEAD DE TECNOLOGIA E DESENVOLVIMENTO DE SISTEMAS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Liderar o desenvolvimento, integração e evolução da plataforma tecnológica da V3, incluindo a integração White Label com a Bloxs e os protocolos de tokenização de ativos reais.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Gestão da integração White Label Bloxs — manutenção e evolução dos fluxos operacionais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Desenvolvimento de smart contracts para tokenização de RWA (Real World Assets)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Arquitetura e manutenção do portal de gestão de partners e investidores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Especificação e acompanhamento de produtos tecnológicos internos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Garantir conformidade técnica com exigências regulatórias CVM (dados, KYC, custódia)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Coordenação de fornecedores e desenvolvedores externos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5 anos em desenvolvimento de sistemas financeiros ou fintechs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Conhecimento em: blockchain, smart contracts, APIs financeiras, segurança de dados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com plataformas de tokenização ou exchanges reguladas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Graduação em Ciência da Computação, Engenharia de Software ou área correlata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Uptime da plataforma (meta: 99,5%)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Número de smart contracts auditados e entregues por semestre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Tempo médio de go-live de novos produtos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Incidentes de segurança: meta zero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Diretoria de Originação (João) + Diretoria Financeira (Hamilton)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0,60%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3. ANALISTA DE M&amp;A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Suportar a estruturação e execução de mandatos de M&amp;A e operações cross-border, garantindo qualidade analítica nos processos de due diligence, avaliação e estruturação.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Elaboração de modelos de valuation (DCF, múltiplos, LBO)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Condução de due diligence financeira em mandatos buy-side e sell-side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Produção de Information Memoranda, teasers e apresentações para investidores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Monitoramento de oportunidades de mercado (setores-alvo: agro, real estate, mineração)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Suporte ao Head de Ativos nas reuniões de originação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Manutenção e atualização do pipeline de deals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2 anos em M&amp;A, private equity ou banco de investimento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Proficiência em Excel financeiro, PowerPoint, modelagem de valuation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Inglês avançado (para deals cross-border)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Graduação em Economia, Administração, Finanças ou Engenharia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Qualidade dos modelos de valuation (revisão pelo Head)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Prazo de entrega de IMs e análises dentro do SLA acordado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Precisão das premissas vs. resultado real das operações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Head de Ativos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0,25%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4. HEAD DE AGRONEGÓCIOS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Desenvolver e liderar a vertical de agronegócio da V3, originando e estruturando operações de financiamento agrícola, CPR, CRA e projetos de exportação.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Originação de operações de crédito rural (CPR, CRA, custeio, armazenagem)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Estruturação de fundos agrícolas (FIAGRO) em parceria com a Diretoria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Desenvolvimento de relacionamento com produtores rurais, cooperativas e tradings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Análise de risco agrícola, safras e cadeias produtivas prioritárias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Coordenação do Analista de Agronegócio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Acompanhamento regulatório (MAPA, Banco Central Rural, Conab)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5 anos em agronegócio financeiro, banco rural ou trading agrícola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Conhecimento em: CPR, CRA, seguro rural, câmbio de exportação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Rede com produtores de grande porte, cooperativas e fundos agro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Graduação em Agronomia, Economia Rural, Administração ou correlato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Volume de operações agro originadas e estruturadas por semestre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Carteira ativa de clientes produtores/cooperativas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Taxa de inadimplência das operações estruturadas (meta &lt; 3%)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Diretoria de Originação (João)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0,40%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5. ANALISTA DE AGRONEGÓCIO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Suportar analiticamente a vertical de agronegócio com análises de crédito rural, monitoramento de safras, modelagem de operações e suporte à estruturação de fundos agrícolas.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Análise de crédito rural — scoring de produtores e cooperativas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Modelagem financeira de operações de CPR e CRA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Monitoramento de preços de commodities agrícolas e câmbio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Elaboração de relatórios de safra, risco climático e risco de mercado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Suporte à estruturação de FIAGROs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Atualização de base de dados de clientes e operações agro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1–2 anos em análise de crédito rural ou trading agrícola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Conhecimento de mercado de commodities (soja, milho, café, cana, boi gordo)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Excel avançado; Bloomberg ou plataforma de preços equivalente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Graduação em Economia, Agronomia, Administração ou correlato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Precisão das análises de crédito vs. performance real das operações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Prazo de entrega de relatórios dentro do SLA acordado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Qualidade dos modelos (avaliação pelo Head de Agronegócios)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Head de Agronegócios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0,20%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6. HEAD FINANCEIRO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Gerir a estrutura financeira, contábil e de tesouraria da V3 Partners S.A., garantindo controle de fluxo de caixa, compliance fiscal e suporte às operações cross-border de câmbio e OTC.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Gestão de fluxo de caixa, DRE e balanço patrimonial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Controle de pró-labore, distribuição de lucros e obrigações fiscais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Coordenação com contador externo e auditor independente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Suporte operacional às liquidações OTC e câmbio cross-border (Hamilton)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Controle do pool de units — tabela de vesting e registros contábeis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Elaboração de relatório financeiro semestral para acionistas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4 anos em controladoria ou tesouraria em empresa financeira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Conhecimento em: IFRS, SPED, obrigações CVM, câmbio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com fintechs ou securitizadoras desejável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Graduação em Ciências Contábeis ou Economia; CPA-10/20 desejável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Acurácia do fluxo de caixa projetado vs. realizado (desvio &lt; 5%)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Zero atrasos em obrigações fiscais e regulatórias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Qualidade do relatório semestral de resultado (aprovação pela Diretoria)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Diretoria Institucional/Financeiro (Hamilton Santos)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0,50%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7. ANALISTA FINANCEIRO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Suportar o Head Financeiro nas rotinas de controle, análise e reporte financeiro, com foco em precisão e agilidade de informação para decisões da Diretoria.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Conciliação bancária e controle de contas a pagar/receber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Lançamentos contábeis e organização de documentação fiscal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Suporte na elaboração de DRE, fluxo de caixa e balanço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Controle de faturas de parceiros e comissões da rede de partners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Atualização de indicadores financeiros para o dashboard da Diretoria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1–2 anos em rotinas financeiras ou contábeis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Excel avançado; experiência com ERPs (Omie, Conta Azul ou similares)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Graduação em Ciências Contábeis, Administração ou Economia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Zero erros de lançamento contábil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Fechamento mensal concluído até D+3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Qualidade dos relatórios entregues ao Head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Head Financeiro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0,20%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8. HEAD DE PRECATÓRIOS E DIREITO CREDITÓRIO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Liderar a vertical de recebíveis judiciais e precatórios, originando, qualificando e estruturando operações de cessão de crédito judicial e precatórios federais, estaduais e municipais.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Originação de carteiras de precatórios e recebíveis judiciais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Due diligence jurídica e financeira de créditos cedidos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Estruturação de operações de cessão em FIDC ou securitização direta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Relacionamento com escritórios de advocacia, credores e tribunais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Acompanhamento de liberação de precatórios e atualização de fluxo de caixa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Desenvolvimento de pipeline de operações com ticket mínimo de R$500K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4 anos em direito creditório, precatórios ou cessão de crédito judicial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Conhecimento do processo judicial federal/estadual e calendário de precatórios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Formação em Direito ou Economia com especialização em mercado de crédito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Volume de carteiras originadas por trimestre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Qualidade da due diligence (taxa de perdas nas carteiras estruturadas)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Prazo médio de estruturação por operação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Diretoria de Originação (João)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0,40%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9. AUXILIAR JURÍDICO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Suportar a Diretoria de Compliance e o Head de Precatórios nas rotinas jurídicas, documentais e regulatórias, garantindo organização, rastreabilidade e cumprimento de prazos.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Organização e gestão de contratos, atas e documentos societários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Acompanhamento de processos judiciais e extrajudiciais relevantes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Suporte na elaboração de minutas simples e notificações extrajudiciais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Controle de prazos regulatórios (CVM, COAF, Junta Comercial)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Pesquisa jurisprudencial e regulatória de suporte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Triagem de correspondências jurídicas e regulatórias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Estudante de Direito (5° período em diante) ou bacharel recente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Conhecimento básico de direito empresarial, societário ou financeiro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Organização rigorosa, atenção a prazos e sigilo absoluto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Zero perdas de prazo em obrigações regulatórias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Acurácia e organização do arquivo documental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Velocidade de triagem e roteamento de demandas jurídicas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Robson Lino (Compliance)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0,15%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10. HEAD DE MINERAÇÃO E COMMODITIES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Desenvolver e liderar a vertical de mineração, metais preciosos e commodities estratégicas, originando operações cross-border de lítio, ouro e outros metais com liquidação via infraestrutura OTC da Bloxs.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Originação de operações de compra, venda e exportação de metais preciosos e minerais estratégicos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Estruturação de financiamento e intermediação de projetos de mineração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Desenvolvimento de relacionamento com mineradoras, trading houses e fundos de recursos naturais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Coordenação com Hamilton nas operações de câmbio e liquidação cross-border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Acompanhamento regulatório (ANM, MDIC, Banco Central — câmbio de exportação)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Elaboração de contratos de offtake e LOIs com parceiros internacionais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4 anos em commodities, mineração ou trading internacional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Conhecimento de mercado de lítio, ouro e metais de terras raras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Inglês fluente — espanhol desejável (para deals cross-border)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Rede com mineradoras brasileiras e compradores internacionais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Volume de operações cross-border estruturadas por semestre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Margem das operações intermediadas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Número de LOIs e contratos de offtake ativos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João (Originação) + Hamilton (Financeiro)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0,40%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11. AUXILIAR DE LOGÍSTICA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 do Cargo</w:t>
      </w:r>
    </w:p>
    <w:p>
      <w:pPr>
        <w:spacing w:after="80" w:before="80"/>
      </w:pPr>
      <w:r>
        <w:rPr>
          <w:sz w:val="22"/>
          <w:szCs w:val="22"/>
        </w:rPr>
        <w:t xml:space="preserve">Garantir a operação fluida dos processos de back-office, documentação, logística operacional e suporte administrativo da V3 Partners S.A.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Responsabilidades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Gestão de documentação física e digital de operações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Controle de envios, recebimentos e rastreabilidade de documentos jurídicos e contratuais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Suporte logístico a reuniões, eventos e deslocamentos da equipe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Coordenação com cartórios, Junta Comercial e órgãos regulatórios para protocolos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Controle de insumos, fornecedores de escritório e contratos de serviços gerais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Suporte administrativo à Diretoria de Operações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Requisitos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Experiência mínima de 1 ano em back-office, assistente administrativo ou logística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Organização, proatividade e capacidade de multitarefa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Graduação em Administração ou área correlata (cursando ou concluída)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KPIs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Rastreabilidade de 100% dos documentos em trânsito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Zero atrasos em protocolos com órgãos regulatórios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Satisfação da equipe com suporte operacional (avaliação trimestral)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Reporte Direto</w:t>
            </w:r>
          </w:p>
        </w:tc>
        <w:tc>
          <w:tcPr>
            <w:tcW w:type="pct" w:w="34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Pool de Units (5% total)</w:t>
            </w:r>
          </w:p>
        </w:tc>
        <w:tc>
          <w:tcPr>
            <w:tcW w:type="pct" w:w="32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Vesting</w:t>
            </w:r>
          </w:p>
        </w:tc>
      </w:tr>
      <w:tr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Robson Lino (Operações)</w:t>
            </w:r>
          </w:p>
        </w:tc>
        <w:tc>
          <w:tcPr>
            <w:tcW w:type="pct" w:w="34%"/>
            <w:shd w:color="FFFFFF" w:val="clear"/>
          </w:tcPr>
          <w:p>
            <w:r>
              <w:rPr>
                <w:sz w:val="20"/>
                <w:szCs w:val="20"/>
              </w:rPr>
              <w:t xml:space="preserve">0,10% do capital social</w:t>
            </w:r>
          </w:p>
        </w:tc>
        <w:tc>
          <w:tcPr>
            <w:tcW w:type="pct" w:w="32%"/>
            <w:shd w:color="FFFFFF" w:val="clear"/>
          </w:tcPr>
          <w:p>
            <w:r>
              <w:rPr>
                <w:sz w:val="20"/>
                <w:szCs w:val="20"/>
              </w:rPr>
              <w:t xml:space="preserve">Cliff 12 meses · 60 meses totais</w:t>
            </w:r>
          </w:p>
        </w:tc>
      </w:tr>
    </w:tbl>
    <w:p>
      <w:pPr>
        <w:spacing w:after="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C9A84C" w:sz="8"/>
        </w:pBdr>
        <w:spacing w:after="240" w:before="480"/>
      </w:pPr>
      <w:r>
        <w:rPr>
          <w:b/>
          <w:bCs/>
          <w:color w:val="1F3864"/>
          <w:sz w:val="32"/>
          <w:szCs w:val="32"/>
        </w:rPr>
        <w:t xml:space="preserve">DOCUMENTO 4 — ESTRUTURA DOS 3 FUNDOS DE INVESTIMENTO</w:t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Fundo 1 — V3 Real Estate Capital — FII + CRI | Construção e Loteamento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Parâmetro</w:t>
            </w:r>
          </w:p>
        </w:tc>
        <w:tc>
          <w:tcPr>
            <w:tcW w:type="pct" w:w="7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Especificação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Estrutura Legal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FII (Lei 8.668/93 + CVM Resolução 175) + emissão de CRI pela V3 (lastro)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Estratégia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Financiamento de incorporações residenciais e loteamentos regulares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Alvo de Projetos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R$10M a R$150M em regiões metropolitanas de alta liquidez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Instrumento Principal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CRI indexado a IPCA — spread estimado 8–12% a.a.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Prazo Médio dos CRIs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24–60 meses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Estrutura de Captação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Fundo fechado — oferta privada (art. 54 da CVM Resolução 160)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Pipeline Inicial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Incorporadoras com certificação PSQ, loteadoras com aprovação municipal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Investidor-Alvo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Family offices, gestores de patrimônio (HNW/UHNW), pessoas físicas qualificadas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Administrador Fiduciário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A contratar: BRL Trust, Vórtx ou Oliveira Trust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VALIDAR COM ROBSON: Registro do fundo na CVM e contratação de administrador fiduciário são pré-requisitos antes de qualquer captação.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Fundo 2 — V3 Agro Capital — FIAGRO | Agronegócio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Parâmetro</w:t>
            </w:r>
          </w:p>
        </w:tc>
        <w:tc>
          <w:tcPr>
            <w:tcW w:type="pct" w:w="7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Especificação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Estrutura Legal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FIAGRO — Lei 14.130/21 + CVM Resolução 175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Ativos Elegíveis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CPR física e financeira, CRA, LCA, debêntures de empresas agro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Estratégia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Financiamento de custeio, armazenagem e exportação de grãos (soja, milho, café)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Instrumento Principal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CRA indexado ao CDI — spread estimado 5–9% a.a.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Prazo Médio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12–36 meses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Pipeline Inicial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Cooperativas do Centro-Oeste e Sul com histórico de pagamento, tradings estabelecidas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Investidor-Alvo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Investidores qualificados, fundos de pensão, family offices agro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Gestora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A definir: V3 credenciada na CVM ou gestora parceira (revenue share)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VALIDAR COM ROBSON: FIAGRO exige gestora credenciada na CVM. Verificar se a V3 terá credenciamento próprio ou utilizará gestora parceira — impacto no modelo de revenue share.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Fundo 3 — V3 Distressed Real Estate — FII | Imóveis de Leilão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Parâmetro</w:t>
            </w:r>
          </w:p>
        </w:tc>
        <w:tc>
          <w:tcPr>
            <w:tcW w:type="pct" w:w="70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Especificação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Estrutura Legal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FII de desenvolvimento (Lei 8.668/93 + CVM Resolução 175)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Estratégia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Aquisição de imóveis em leilão judicial com deságio ≥ 30% do valor de mercado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Escopo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Imóveis residenciais e comerciais — execuções hipotecárias, falências, inventários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Aquisição → regularização fundiária → reforma → revenda ou locação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Retorno Alvo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25–40% sobre capital investido por ativo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Prazo Médio por Ativo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12–24 meses (aquisição → venda)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Distribuição de Rendimentos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Semestral aos cotistas</w:t>
            </w:r>
          </w:p>
        </w:tc>
      </w:tr>
      <w:tr>
        <w:tc>
          <w:tcPr>
            <w:tcW w:type="pct" w:w="30%"/>
            <w:shd w:color="F2F2F2" w:val="solid"/>
          </w:tcPr>
          <w:p>
            <w:r>
              <w:rPr>
                <w:sz w:val="20"/>
                <w:szCs w:val="20"/>
              </w:rPr>
              <w:t xml:space="preserve">Diferencial V3</w:t>
            </w:r>
          </w:p>
        </w:tc>
        <w:tc>
          <w:tcPr>
            <w:tcW w:type="pct" w:w="70%"/>
            <w:shd w:color="F2F2F2" w:val="solid"/>
          </w:tcPr>
          <w:p>
            <w:r>
              <w:rPr>
                <w:sz w:val="20"/>
                <w:szCs w:val="20"/>
              </w:rPr>
              <w:t xml:space="preserve">Estrutura jurídica interna para due diligence ágil de ônus e gravames</w:t>
            </w:r>
          </w:p>
        </w:tc>
      </w:tr>
      <w:tr>
        <w:tc>
          <w:tcPr>
            <w:tcW w:type="pct" w:w="30%"/>
            <w:shd w:color="FFFFFF" w:val="clear"/>
          </w:tcPr>
          <w:p>
            <w:r>
              <w:rPr>
                <w:sz w:val="20"/>
                <w:szCs w:val="20"/>
              </w:rPr>
              <w:t xml:space="preserve">Pipeline Inicial</w:t>
            </w:r>
          </w:p>
        </w:tc>
        <w:tc>
          <w:tcPr>
            <w:tcW w:type="pct" w:w="70%"/>
            <w:shd w:color="FFFFFF" w:val="clear"/>
          </w:tcPr>
          <w:p>
            <w:r>
              <w:rPr>
                <w:sz w:val="20"/>
                <w:szCs w:val="20"/>
              </w:rPr>
              <w:t xml:space="preserve">Parceria com leiloeiros credenciados — leilão judicial federal/estadual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VALIDAR COM ROBSON: Imóveis com passivo tributário não quantificado não devem ser adquiridos pelo fundo. Due diligence fiscal é obrigatória antes de qualquer oferta em leilão.</w:t>
      </w:r>
    </w:p>
    <w:p>
      <w:r>
        <w:br w:type="page"/>
      </w:r>
    </w:p>
    <w:p>
      <w:pPr>
        <w:pStyle w:val="Heading1"/>
        <w:pBdr>
          <w:bottom w:val="single" w:color="C9A84C" w:sz="8"/>
        </w:pBdr>
        <w:spacing w:after="240" w:before="480"/>
      </w:pPr>
      <w:r>
        <w:rPr>
          <w:b/>
          <w:bCs/>
          <w:color w:val="1F3864"/>
          <w:sz w:val="32"/>
          <w:szCs w:val="32"/>
        </w:rPr>
        <w:t xml:space="preserve">DOCUMENTO 5 — ROADMAP DAS ALTERAÇÕES CONTRATUAIS</w:t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Sequência Obrigatória — Ordem de Execução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Etapa</w:t>
            </w:r>
          </w:p>
        </w:tc>
        <w:tc>
          <w:tcPr>
            <w:tcW w:type="pct" w:w="38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Ação</w:t>
            </w:r>
          </w:p>
        </w:tc>
        <w:tc>
          <w:tcPr>
            <w:tcW w:type="pct" w:w="16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Prazo Est.</w:t>
            </w:r>
          </w:p>
        </w:tc>
        <w:tc>
          <w:tcPr>
            <w:tcW w:type="pct" w:w="38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Pré-requisito</w:t>
            </w:r>
          </w:p>
        </w:tc>
      </w:tr>
      <w:tr>
        <w:tc>
          <w:tcPr>
            <w:tcW w:type="pct" w:w="8%"/>
            <w:shd w:color="FFFFFF" w:val="clea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Contratar laudo de avaliação patrimonial da Ltda</w:t>
            </w:r>
          </w:p>
        </w:tc>
        <w:tc>
          <w:tcPr>
            <w:tcW w:type="pct" w:w="16%"/>
            <w:shd w:color="FFFFFF" w:val="clear"/>
          </w:tcPr>
          <w:p>
            <w:r>
              <w:rPr>
                <w:sz w:val="20"/>
                <w:szCs w:val="20"/>
              </w:rPr>
              <w:t xml:space="preserve">Imediato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Nenhum</w:t>
            </w:r>
          </w:p>
        </w:tc>
      </w:tr>
      <w:tr>
        <w:tc>
          <w:tcPr>
            <w:tcW w:type="pct" w:w="8%"/>
            <w:shd w:color="F2F2F2" w:val="solid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3ª Alteração Contratual — inclusão do 4° sócio</w:t>
            </w:r>
          </w:p>
        </w:tc>
        <w:tc>
          <w:tcPr>
            <w:tcW w:type="pct" w:w="16%"/>
            <w:shd w:color="F2F2F2" w:val="solid"/>
          </w:tcPr>
          <w:p>
            <w:r>
              <w:rPr>
                <w:sz w:val="20"/>
                <w:szCs w:val="20"/>
              </w:rPr>
              <w:t xml:space="preserve">Mês 1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Laudo iniciado</w:t>
            </w:r>
          </w:p>
        </w:tc>
      </w:tr>
      <w:tr>
        <w:tc>
          <w:tcPr>
            <w:tcW w:type="pct" w:w="8%"/>
            <w:shd w:color="FFFFFF" w:val="clea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Atualizar Manual de Procedimentos</w:t>
            </w:r>
          </w:p>
        </w:tc>
        <w:tc>
          <w:tcPr>
            <w:tcW w:type="pct" w:w="16%"/>
            <w:shd w:color="FFFFFF" w:val="clear"/>
          </w:tcPr>
          <w:p>
            <w:r>
              <w:rPr>
                <w:sz w:val="20"/>
                <w:szCs w:val="20"/>
              </w:rPr>
              <w:t xml:space="preserve">Mês 1–2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3ª Alteração arquivada</w:t>
            </w:r>
          </w:p>
        </w:tc>
      </w:tr>
      <w:tr>
        <w:tc>
          <w:tcPr>
            <w:tcW w:type="pct" w:w="8%"/>
            <w:shd w:color="F2F2F2" w:val="solid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Formalizar contratos do Talent Pool (como Ltda)</w:t>
            </w:r>
          </w:p>
        </w:tc>
        <w:tc>
          <w:tcPr>
            <w:tcW w:type="pct" w:w="16%"/>
            <w:shd w:color="F2F2F2" w:val="solid"/>
          </w:tcPr>
          <w:p>
            <w:r>
              <w:rPr>
                <w:sz w:val="20"/>
                <w:szCs w:val="20"/>
              </w:rPr>
              <w:t xml:space="preserve">Mês 2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Manual atualizado</w:t>
            </w:r>
          </w:p>
        </w:tc>
      </w:tr>
      <w:tr>
        <w:tc>
          <w:tcPr>
            <w:tcW w:type="pct" w:w="8%"/>
            <w:shd w:color="FFFFFF" w:val="clea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4ª Alteração — transformação para S.A. capital fechado</w:t>
            </w:r>
          </w:p>
        </w:tc>
        <w:tc>
          <w:tcPr>
            <w:tcW w:type="pct" w:w="16%"/>
            <w:shd w:color="FFFFFF" w:val="clear"/>
          </w:tcPr>
          <w:p>
            <w:r>
              <w:rPr>
                <w:sz w:val="20"/>
                <w:szCs w:val="20"/>
              </w:rPr>
              <w:t xml:space="preserve">Mês 3–5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Laudo + 3ª alt. arquivada + Estatuto aprovado</w:t>
            </w:r>
          </w:p>
        </w:tc>
      </w:tr>
      <w:tr>
        <w:tc>
          <w:tcPr>
            <w:tcW w:type="pct" w:w="8%"/>
            <w:shd w:color="F2F2F2" w:val="solid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Emissão das Units de Performance</w:t>
            </w:r>
          </w:p>
        </w:tc>
        <w:tc>
          <w:tcPr>
            <w:tcW w:type="pct" w:w="16%"/>
            <w:shd w:color="F2F2F2" w:val="solid"/>
          </w:tcPr>
          <w:p>
            <w:r>
              <w:rPr>
                <w:sz w:val="20"/>
                <w:szCs w:val="20"/>
              </w:rPr>
              <w:t xml:space="preserve">Mês 5+</w:t>
            </w:r>
          </w:p>
        </w:tc>
        <w:tc>
          <w:tcPr>
            <w:tcW w:type="pct" w:w="38%"/>
            <w:shd w:color="F2F2F2" w:val="solid"/>
          </w:tcPr>
          <w:p>
            <w:r>
              <w:rPr>
                <w:sz w:val="20"/>
                <w:szCs w:val="20"/>
              </w:rPr>
              <w:t xml:space="preserve">Estatuto S.A. vigente</w:t>
            </w:r>
          </w:p>
        </w:tc>
      </w:tr>
      <w:tr>
        <w:tc>
          <w:tcPr>
            <w:tcW w:type="pct" w:w="8%"/>
            <w:shd w:color="FFFFFF" w:val="clear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Estruturação dos Fundos de Investimento</w:t>
            </w:r>
          </w:p>
        </w:tc>
        <w:tc>
          <w:tcPr>
            <w:tcW w:type="pct" w:w="16%"/>
            <w:shd w:color="FFFFFF" w:val="clear"/>
          </w:tcPr>
          <w:p>
            <w:r>
              <w:rPr>
                <w:sz w:val="20"/>
                <w:szCs w:val="20"/>
              </w:rPr>
              <w:t xml:space="preserve">Mês 6+</w:t>
            </w:r>
          </w:p>
        </w:tc>
        <w:tc>
          <w:tcPr>
            <w:tcW w:type="pct" w:w="38%"/>
            <w:shd w:color="FFFFFF" w:val="clear"/>
          </w:tcPr>
          <w:p>
            <w:r>
              <w:rPr>
                <w:sz w:val="20"/>
                <w:szCs w:val="20"/>
              </w:rPr>
              <w:t xml:space="preserve">S.A. operacional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3ª Alteração Contratual — Inclusão de Novo Sócio Fundador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Objetivo:</w:t>
      </w:r>
    </w:p>
    <w:p>
      <w:pPr>
        <w:spacing w:after="80" w:before="80"/>
      </w:pPr>
      <w:r>
        <w:rPr>
          <w:sz w:val="22"/>
          <w:szCs w:val="22"/>
        </w:rPr>
        <w:t xml:space="preserve">Incluir o quarto sócio fundador enquanto a empresa ainda é Ltda — processo mais simples e menos custoso do que fazê-lo após a transformação para S.A.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Pontos a definir com o jurídico: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Identificação completa do novo sócio (nome, CPF/CNPJ, qualificação)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Valor de aporte ou forma de integralização (capital em dinheiro, bens ou serviços)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Percentual de participação após a entrada — impacto nas cotas dos demais sócios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Regras aplicáveis: lock-up, non-compete, drag/tag along (iguais aos demais sócios)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Atualização do Acordo de Sócios com as mesmas cláusulas sensíveis dos demais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Documentos necessários para arquivamento: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Minuta da 3ª Alteração Contratual revisada e assinada pelos 4 sócios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Atualização do Acordo de Sócios (aditivo)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Comprovante de integralização da participação do novo sócio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Arquivamento na Junta Comercial do Rio de Janeiro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4ª Alteração Contratual — Transformação para S.A. Capital Fechado</w:t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Objetivo:</w:t>
      </w:r>
    </w:p>
    <w:p>
      <w:pPr>
        <w:spacing w:after="80" w:before="80"/>
      </w:pPr>
      <w:r>
        <w:rPr>
          <w:sz w:val="22"/>
          <w:szCs w:val="22"/>
        </w:rPr>
        <w:t xml:space="preserve">Transformar a V3 Partners Soluções Ltda em V3 Partners S.A. nos termos dos arts. 220–222 da Lei 6.404/76.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Checklist de pré-requisitos obrigatórios: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[ ] Laudo de avaliação patrimonial concluído e aprovado pelos sócios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[ ] 3ª Alteração Contratual arquivada na Junta Comercial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[ ] Manual de Procedimentos atualizado com estrutura S.A.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[ ] Contratos do Talent Pool assinados (como Ltda)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[ ] Estatuto Social redigido e aprovado por todos os sócios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[ ] Acordo de Sócios final revisado e assinado pelos 4 sócios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[ ] Contrato Bloxs revisado para nova razão social S.A.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Documentos a serem produzidos pelo jurídico: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Ata da Assembleia Geral de Transformação (aprovação unânime dos sócios)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Estatuto Social da V3 Partners S.A. (incluindo objeto social com blindagem regulatória)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Ata de Eleição da Diretoria (3 diretores + eventual 4° sócio)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Definição do capital social e estrutura de ações (ordinárias e/ou preferenciais)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Protocolo e arquivamento na Junta Comercial do Rio de Janeiro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Publicação do ato de transformação no Diário Oficial e jornal de grande circulação</w:t>
      </w:r>
    </w:p>
    <w:p>
      <w:pPr>
        <w:spacing w:after="0" w:before="120"/>
      </w:pPr>
      <w:r>
        <w:t xml:space="preserve"/>
      </w:r>
    </w:p>
    <w:p>
      <w:pPr>
        <w:spacing w:after="80" w:before="80"/>
      </w:pPr>
      <w:r>
        <w:rPr>
          <w:b/>
          <w:bCs/>
          <w:sz w:val="22"/>
          <w:szCs w:val="22"/>
        </w:rPr>
        <w:t xml:space="preserve">Estrutura do Capital Social: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100% de ações ordinárias nominativas sem valor nominal (proposta inicial)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Pool de 5% autorizado no Estatuto via Art. 168 §3° — não há diluição imediata</w:t>
      </w:r>
    </w:p>
    <w:p>
      <w:pPr>
        <w:spacing w:after="60" w:before="60"/>
        <w:ind w:left="360"/>
      </w:pPr>
      <w:r>
        <w:rPr>
          <w:sz w:val="22"/>
          <w:szCs w:val="22"/>
        </w:rPr>
        <w:t xml:space="preserve">• Emissão das ações do pool ocorre apenas no exercício das opções pelos beneficiários</w:t>
      </w:r>
    </w:p>
    <w:p>
      <w:pPr>
        <w:spacing w:after="0" w:before="12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Item de Custo</w:t>
            </w:r>
          </w:p>
        </w:tc>
        <w:tc>
          <w:tcPr>
            <w:tcW w:type="pct" w:w="4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Estimativa de Mercado</w:t>
            </w:r>
          </w:p>
        </w:tc>
      </w:tr>
      <w:tr>
        <w:tc>
          <w:tcPr>
            <w:tcW w:type="pct" w:w="55%"/>
            <w:shd w:color="FFFFFF" w:val="clear"/>
          </w:tcPr>
          <w:p>
            <w:r>
              <w:rPr>
                <w:sz w:val="20"/>
                <w:szCs w:val="20"/>
              </w:rPr>
              <w:t xml:space="preserve">Honorários jurídicos (transformação em S.A.)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R$15.000 – R$40.000</w:t>
            </w:r>
          </w:p>
        </w:tc>
      </w:tr>
      <w:tr>
        <w:tc>
          <w:tcPr>
            <w:tcW w:type="pct" w:w="55%"/>
            <w:shd w:color="F2F2F2" w:val="solid"/>
          </w:tcPr>
          <w:p>
            <w:r>
              <w:rPr>
                <w:sz w:val="20"/>
                <w:szCs w:val="20"/>
              </w:rPr>
              <w:t xml:space="preserve">Laudo de avaliação patrimonial (empresa CFC)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R$5.000 – R$15.000</w:t>
            </w:r>
          </w:p>
        </w:tc>
      </w:tr>
      <w:tr>
        <w:tc>
          <w:tcPr>
            <w:tcW w:type="pct" w:w="55%"/>
            <w:shd w:color="FFFFFF" w:val="clear"/>
          </w:tcPr>
          <w:p>
            <w:r>
              <w:rPr>
                <w:sz w:val="20"/>
                <w:szCs w:val="20"/>
              </w:rPr>
              <w:t xml:space="preserve">Taxas Junta Comercial RJ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R$500 – R$2.000</w:t>
            </w:r>
          </w:p>
        </w:tc>
      </w:tr>
      <w:tr>
        <w:tc>
          <w:tcPr>
            <w:tcW w:type="pct" w:w="55%"/>
            <w:shd w:color="F2F2F2" w:val="solid"/>
          </w:tcPr>
          <w:p>
            <w:r>
              <w:rPr>
                <w:sz w:val="20"/>
                <w:szCs w:val="20"/>
              </w:rPr>
              <w:t xml:space="preserve">Publicações legais (D.O. + jornal)</w:t>
            </w:r>
          </w:p>
        </w:tc>
        <w:tc>
          <w:tcPr>
            <w:tcW w:type="pct" w:w="45%"/>
            <w:shd w:color="F2F2F2" w:val="solid"/>
          </w:tcPr>
          <w:p>
            <w:r>
              <w:rPr>
                <w:sz w:val="20"/>
                <w:szCs w:val="20"/>
              </w:rPr>
              <w:t xml:space="preserve">R$2.000 – R$5.000</w:t>
            </w:r>
          </w:p>
        </w:tc>
      </w:tr>
      <w:tr>
        <w:tc>
          <w:tcPr>
            <w:tcW w:type="pct" w:w="55%"/>
            <w:shd w:color="FFFFFF" w:val="clear"/>
          </w:tcPr>
          <w:p>
            <w:r>
              <w:rPr>
                <w:sz w:val="20"/>
                <w:szCs w:val="20"/>
              </w:rPr>
              <w:t xml:space="preserve">TOTAL ESTIMADO</w:t>
            </w:r>
          </w:p>
        </w:tc>
        <w:tc>
          <w:tcPr>
            <w:tcW w:type="pct" w:w="45%"/>
            <w:shd w:color="FFFFFF" w:val="clear"/>
          </w:tcPr>
          <w:p>
            <w:r>
              <w:rPr>
                <w:sz w:val="20"/>
                <w:szCs w:val="20"/>
              </w:rPr>
              <w:t xml:space="preserve">R$22.500 – R$62.000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60" w:before="160"/>
        <w:ind w:left="360"/>
      </w:pPr>
      <w:r>
        <w:rPr>
          <w:b/>
          <w:bCs/>
          <w:color w:val="C25700"/>
          <w:sz w:val="22"/>
          <w:szCs w:val="22"/>
        </w:rPr>
        <w:t xml:space="preserve">⚠  Custos acima são estimativas de mercado para fins de planejamento. Solicitar orçamento formal ao advogado antes de aprovar o investimento.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60" w:before="360"/>
      </w:pPr>
      <w:r>
        <w:rPr>
          <w:b/>
          <w:bCs/>
          <w:color w:val="1F3864"/>
          <w:sz w:val="26"/>
          <w:szCs w:val="26"/>
        </w:rPr>
        <w:t xml:space="preserve">Ajustes Necessários ao Manual de Procedimentos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Seção do Manual</w:t>
            </w:r>
          </w:p>
        </w:tc>
        <w:tc>
          <w:tcPr>
            <w:tcW w:type="pct" w:w="65%"/>
            <w:shd w:color="1F3864" w:val="solid"/>
          </w:tcPr>
          <w:p>
            <w:pPr>
              <w:jc w:val="left"/>
            </w:pPr>
            <w:r>
              <w:rPr>
                <w:b/>
                <w:bCs/>
                <w:color w:val="F0ECE4"/>
                <w:sz w:val="20"/>
                <w:szCs w:val="20"/>
              </w:rPr>
              <w:t xml:space="preserve">Ajuste Necessário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Estrutura Societária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Incluir 4° sócio, atualizar percentuais, incluir estrutura S.A.</w:t>
            </w:r>
          </w:p>
        </w:tc>
      </w:tr>
      <w:tr>
        <w:tc>
          <w:tcPr>
            <w:tcW w:type="pct" w:w="35%"/>
            <w:shd w:color="F2F2F2" w:val="solid"/>
          </w:tcPr>
          <w:p>
            <w:r>
              <w:rPr>
                <w:sz w:val="20"/>
                <w:szCs w:val="20"/>
              </w:rPr>
              <w:t xml:space="preserve">Organograma</w:t>
            </w:r>
          </w:p>
        </w:tc>
        <w:tc>
          <w:tcPr>
            <w:tcW w:type="pct" w:w="65%"/>
            <w:shd w:color="F2F2F2" w:val="solid"/>
          </w:tcPr>
          <w:p>
            <w:r>
              <w:rPr>
                <w:sz w:val="20"/>
                <w:szCs w:val="20"/>
              </w:rPr>
              <w:t xml:space="preserve">Adicionar 11 posições + Conselho de Advisors (6 cadeiras)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Assinaturas e Alçadas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Atualizar regras de assinatura isolada/conjunta conforme Documento 2</w:t>
            </w:r>
          </w:p>
        </w:tc>
      </w:tr>
      <w:tr>
        <w:tc>
          <w:tcPr>
            <w:tcW w:type="pct" w:w="35%"/>
            <w:shd w:color="F2F2F2" w:val="solid"/>
          </w:tcPr>
          <w:p>
            <w:r>
              <w:rPr>
                <w:sz w:val="20"/>
                <w:szCs w:val="20"/>
              </w:rPr>
              <w:t xml:space="preserve">Talent Pool</w:t>
            </w:r>
          </w:p>
        </w:tc>
        <w:tc>
          <w:tcPr>
            <w:tcW w:type="pct" w:w="65%"/>
            <w:shd w:color="F2F2F2" w:val="solid"/>
          </w:tcPr>
          <w:p>
            <w:r>
              <w:rPr>
                <w:sz w:val="20"/>
                <w:szCs w:val="20"/>
              </w:rPr>
              <w:t xml:space="preserve">Inserir seção nova com regras de cliff, vesting e KPIs por cargo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Compliance / COAF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Atualizar para refletir nova razão social S.A. e PLD-FT</w:t>
            </w:r>
          </w:p>
        </w:tc>
      </w:tr>
      <w:tr>
        <w:tc>
          <w:tcPr>
            <w:tcW w:type="pct" w:w="35%"/>
            <w:shd w:color="F2F2F2" w:val="solid"/>
          </w:tcPr>
          <w:p>
            <w:r>
              <w:rPr>
                <w:sz w:val="20"/>
                <w:szCs w:val="20"/>
              </w:rPr>
              <w:t xml:space="preserve">Relacionamento com Reguladores</w:t>
            </w:r>
          </w:p>
        </w:tc>
        <w:tc>
          <w:tcPr>
            <w:tcW w:type="pct" w:w="65%"/>
            <w:shd w:color="F2F2F2" w:val="solid"/>
          </w:tcPr>
          <w:p>
            <w:r>
              <w:rPr>
                <w:sz w:val="20"/>
                <w:szCs w:val="20"/>
              </w:rPr>
              <w:t xml:space="preserve">Incluir CVM (fundos) e ANM (mineração)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Produtos e Verticais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Incluir 3 novos fundos como produtos geridos/co-geridos pela V3</w:t>
            </w:r>
          </w:p>
        </w:tc>
      </w:tr>
      <w:tr>
        <w:tc>
          <w:tcPr>
            <w:tcW w:type="pct" w:w="35%"/>
            <w:shd w:color="F2F2F2" w:val="solid"/>
          </w:tcPr>
          <w:p>
            <w:r>
              <w:rPr>
                <w:sz w:val="20"/>
                <w:szCs w:val="20"/>
              </w:rPr>
              <w:t xml:space="preserve">Plano de Sucessão</w:t>
            </w:r>
          </w:p>
        </w:tc>
        <w:tc>
          <w:tcPr>
            <w:tcW w:type="pct" w:w="65%"/>
            <w:shd w:color="F2F2F2" w:val="solid"/>
          </w:tcPr>
          <w:p>
            <w:r>
              <w:rPr>
                <w:sz w:val="20"/>
                <w:szCs w:val="20"/>
              </w:rPr>
              <w:t xml:space="preserve">Incluir regras de IUL e sucessão executiva meritocrática</w:t>
            </w:r>
          </w:p>
        </w:tc>
      </w:tr>
      <w:tr>
        <w:tc>
          <w:tcPr>
            <w:tcW w:type="pct" w:w="35%"/>
            <w:shd w:color="FFFFFF" w:val="clear"/>
          </w:tcPr>
          <w:p>
            <w:r>
              <w:rPr>
                <w:sz w:val="20"/>
                <w:szCs w:val="20"/>
              </w:rPr>
              <w:t xml:space="preserve">Política de Privacidade</w:t>
            </w:r>
          </w:p>
        </w:tc>
        <w:tc>
          <w:tcPr>
            <w:tcW w:type="pct" w:w="65%"/>
            <w:shd w:color="FFFFFF" w:val="clear"/>
          </w:tcPr>
          <w:p>
            <w:r>
              <w:rPr>
                <w:sz w:val="20"/>
                <w:szCs w:val="20"/>
              </w:rPr>
              <w:t xml:space="preserve">Atualizar LGPD para base de dados dos fundos</w:t>
            </w:r>
          </w:p>
        </w:tc>
      </w:tr>
    </w:tbl>
    <w:p>
      <w:r>
        <w:br w:type="page"/>
      </w:r>
    </w:p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V3 Partners S.A. — Relatório de Handover e Estruturação</dc:title>
  <dc:creator>V3 Partners</dc:creator>
  <dc:description>Diretrizes estratégicas para constituição da V3 Partners S.A.</dc:description>
  <cp:lastModifiedBy>Un-named</cp:lastModifiedBy>
  <cp:revision>1</cp:revision>
  <dcterms:created xsi:type="dcterms:W3CDTF">2026-04-24T02:18:18.879Z</dcterms:created>
  <dcterms:modified xsi:type="dcterms:W3CDTF">2026-04-24T02:18:18.880Z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