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Investigación Exhaustiva y Arquitectura de Algoritmos Transversales para la Optimización del Rendimiento Académico y Físico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advenimiento de las tecnologías de optimización del rendimiento humano ha provocado una fragmentación artificial entre el bienestar físico y el desarrollo cognitivo. Tradicionalmente, los sistemas de aprendizaje adaptativo (EdTech) y las plataformas de cuantificación fisiológica han operado en compartimentos estancos, ignorando la realidad biológica fundamental de que el organismo humano es un sistema interconectado de recursos finitos. La premisa biomecánica y neurofisiológica subyacente a esta investigación postula que el cuerpo humano no distingue de manera absoluta entre el estrés psicológico derivado de la carga académica y el estrés somático inducido por el entrenamiento físico. Ambos dominios estimulan el eje hipotalámico-pituitario-adrenal, consumen sustratos energéticos compartidos y agotan el ancho de banda del sistema nervioso central.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construir una arquitectura algorítmica coherente, funcional y medible dentro de una aplicación híbrida, es imperativo establecer un marco matemático que cuantifique el coste fisiológico del estudio, modele la degradación atencional y establezca lazos de retroalimentación algorítmica. Estos bucles de regulación cruzada permitirán que toda acción en el dominio deportivo modifique dinámicamente las recomendaciones en el dominio académico, y viceversa, creando el primer motor de recomendación verdaderamente holístico.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Bloque de Estudio como Entidad Central y su Coste Fisiológico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conceptualización del estudio académico no debe limitarse a la mera asimilación pasiva de información, sino que debe entenderse como un proceso metabólico y cognitivo continuo que impone una demanda fisiológica directa sobre el organismo. Para integrar el dominio académico en una plataforma de salud y bienestar de forma rigurosa, resulta ineludible establecer la equivalencia metabólica del esfuerzo cognitivo y modelar matemáticamente la degradación de los recursos atencionales del usuario a lo largo de sus sesiones de estudio.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gasto energético humano diario se compone fundamentalmente de la Tasa Metabólica en Reposo (RMR), el efecto térmico de los alimentos y la Termogénesis por Actividad sin Ejercicio (NEAT), a la cual pertenece la actividad académica. Para estandarizar el coste energético de las diversas modalidades de estudio, la literatura científica internacional recurre al Compendio de Actividades Físicas para Adultos. Este compendio, desarrollado inicialmente a finales de la década de 1980 y sometido a una profunda tercera actualización en 2024, clasifica las tareas mediante el Equivalente Metabólico de Tarea (MET).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valor MET se define como la proporción entre la tasa metabólica de trabajo y la tasa metabólica de reposo, donde un MET equivale de forma aproximada a la energía consumida al estar sentado tranquilamente, es decir, un consumo de un kilocaloría por kilogramo de peso por hora (1 kcal/kg/hora) o un consumo de oxígeno de 3.5 ml/kg/min.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actualización de 2024 del Compendio, que analizó miles de publicaciones para extraer mediciones de calorimetría indirecta, establece coeficientes estandarizados específicos para las tareas cognitivas y académicas en la población adulta de 19 a 59 años.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Las actividades sedentarias que implican esfuerzo cognitivo presentan un consumo metabólico superior al reposo absoluto debido a la demanda de glucosa del tejido cerebral durante la concentración focalizada.</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Actividad Específica (Código Compendio)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Esfuerzo Cognitivo Implicado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Valor MET Asignado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Estudiar en general, leer o escribir de forma pasiva (09060)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Ligero a moderado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Trabajo de escritorio, escritura computacional o tipeo (09040)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Moderado (coordinación motora fina)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Asistir a clase, incluyendo toma de apuntes y discusión (09065)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Moderado a alto (atención dividida)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r>
    </w:tbl>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transformar estos coeficientes genéricos en un cálculo calórico altamente preciso y personalizado para la aplicación, es necesario determinar con exactitud el RMR del individuo. La literatura en fisiología del ejercicio establece que la ecuación predictiva de Mifflin-St Jeor, desarrollada en 1990, constituye el estándar de oro contemporáneo para calcular el RMR en individuos sanos. Diversos estudios han demostrado que la ecuación de Mifflin-St Jeor estima el gasto energético en reposo con mayor precisión y un margen de error significativamente menor que la histórica ecuación de Harris-Benedict de 1919, la cual tiende a sobreestimar el gasto metabólico medido hasta en un cinco por ciento y resulta obsoleta frente a las diferencias demográficas actuales en composición corporal.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 superioridad de la fórmula de Mifflin-St Jeor radica en su fuerte correlación estadística con la masa libre de grasa y el peso total del individuo, proporcionando resultados que operan dentro de un margen muy ajustado respecto a los obtenidos mediante calorimetría indirecta clínica.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formulación matemática del Gasto Calórico Total (</w:t>
      </w:r>
      <w:r w:rsidDel="00000000" w:rsidR="00000000" w:rsidRPr="00000000">
        <w:rPr>
          <w:rFonts w:ascii="Google Sans" w:cs="Google Sans" w:eastAsia="Google Sans" w:hAnsi="Google Sans"/>
          <w:color w:val="1f1f1f"/>
        </w:rPr>
        <w:drawing>
          <wp:inline distB="19050" distT="19050" distL="19050" distR="19050">
            <wp:extent cx="751761" cy="245473"/>
            <wp:effectExtent b="0" l="0" r="0" t="0"/>
            <wp:docPr id="81" name="image78.png"/>
            <a:graphic>
              <a:graphicData uri="http://schemas.openxmlformats.org/drawingml/2006/picture">
                <pic:pic>
                  <pic:nvPicPr>
                    <pic:cNvPr id="0" name="image78.png"/>
                    <pic:cNvPicPr preferRelativeResize="0"/>
                  </pic:nvPicPr>
                  <pic:blipFill>
                    <a:blip r:embed="rId6"/>
                    <a:srcRect b="0" l="0" r="0" t="0"/>
                    <a:stretch>
                      <a:fillRect/>
                    </a:stretch>
                  </pic:blipFill>
                  <pic:spPr>
                    <a:xfrm>
                      <a:off x="0" y="0"/>
                      <a:ext cx="751761" cy="2454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un Bloque de Estudio se modela mediante la siguiente ecuación exacta, que integra el RMR ajustado y la temporalidad del evento: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72929"/>
            <wp:effectExtent b="0" l="0" r="0" t="0"/>
            <wp:docPr id="83"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5905500" cy="87292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desglose técnico de las variables de entrada, salida y los coeficientes estándar de esta ecuación obedece a parámetros antropométricos estrictos. La variable resultante, </w:t>
      </w:r>
      <w:r w:rsidDel="00000000" w:rsidR="00000000" w:rsidRPr="00000000">
        <w:rPr>
          <w:rFonts w:ascii="Google Sans" w:cs="Google Sans" w:eastAsia="Google Sans" w:hAnsi="Google Sans"/>
          <w:color w:val="1f1f1f"/>
        </w:rPr>
        <w:drawing>
          <wp:inline distB="19050" distT="19050" distL="19050" distR="19050">
            <wp:extent cx="975246" cy="245731"/>
            <wp:effectExtent b="0" l="0" r="0" t="0"/>
            <wp:docPr id="82"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975246" cy="245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el gasto energético total de la sesión de estudio expresado en kilocalorías (kcal). Las variables antropométricas de entrada incluyen el peso corporal del usuario en kilogramos (</w:t>
      </w:r>
      <w:r w:rsidDel="00000000" w:rsidR="00000000" w:rsidRPr="00000000">
        <w:rPr>
          <w:rFonts w:ascii="Google Sans" w:cs="Google Sans" w:eastAsia="Google Sans" w:hAnsi="Google Sans"/>
          <w:color w:val="1f1f1f"/>
        </w:rPr>
        <w:drawing>
          <wp:inline distB="19050" distT="19050" distL="19050" distR="19050">
            <wp:extent cx="212169" cy="251460"/>
            <wp:effectExtent b="0" l="0" r="0" t="0"/>
            <wp:docPr id="85" name="image67.png"/>
            <a:graphic>
              <a:graphicData uri="http://schemas.openxmlformats.org/drawingml/2006/picture">
                <pic:pic>
                  <pic:nvPicPr>
                    <pic:cNvPr id="0" name="image67.png"/>
                    <pic:cNvPicPr preferRelativeResize="0"/>
                  </pic:nvPicPr>
                  <pic:blipFill>
                    <a:blip r:embed="rId9"/>
                    <a:srcRect b="0" l="0" r="0" t="0"/>
                    <a:stretch>
                      <a:fillRect/>
                    </a:stretch>
                  </pic:blipFill>
                  <pic:spPr>
                    <a:xfrm>
                      <a:off x="0" y="0"/>
                      <a:ext cx="212169" cy="2514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estatura del usuario en centímetros (</w:t>
      </w:r>
      <w:r w:rsidDel="00000000" w:rsidR="00000000" w:rsidRPr="00000000">
        <w:rPr>
          <w:rFonts w:ascii="Google Sans" w:cs="Google Sans" w:eastAsia="Google Sans" w:hAnsi="Google Sans"/>
          <w:color w:val="1f1f1f"/>
        </w:rPr>
        <w:drawing>
          <wp:inline distB="19050" distT="19050" distL="19050" distR="19050">
            <wp:extent cx="178713" cy="248644"/>
            <wp:effectExtent b="0" l="0" r="0" t="0"/>
            <wp:docPr id="84" name="image64.png"/>
            <a:graphic>
              <a:graphicData uri="http://schemas.openxmlformats.org/drawingml/2006/picture">
                <pic:pic>
                  <pic:nvPicPr>
                    <pic:cNvPr id="0" name="image64.png"/>
                    <pic:cNvPicPr preferRelativeResize="0"/>
                  </pic:nvPicPr>
                  <pic:blipFill>
                    <a:blip r:embed="rId10"/>
                    <a:srcRect b="0" l="0" r="0" t="0"/>
                    <a:stretch>
                      <a:fillRect/>
                    </a:stretch>
                  </pic:blipFill>
                  <pic:spPr>
                    <a:xfrm>
                      <a:off x="0" y="0"/>
                      <a:ext cx="178713" cy="248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la edad del usuario en años cronológicos (</w:t>
      </w:r>
      <w:r w:rsidDel="00000000" w:rsidR="00000000" w:rsidRPr="00000000">
        <w:rPr>
          <w:rFonts w:ascii="Google Sans" w:cs="Google Sans" w:eastAsia="Google Sans" w:hAnsi="Google Sans"/>
          <w:color w:val="1f1f1f"/>
        </w:rPr>
        <w:drawing>
          <wp:inline distB="19050" distT="19050" distL="19050" distR="19050">
            <wp:extent cx="147042" cy="261408"/>
            <wp:effectExtent b="0" l="0" r="0" t="0"/>
            <wp:docPr id="88"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147042" cy="261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constante de ajuste dimórfico sexual (</w:t>
      </w:r>
      <w:r w:rsidDel="00000000" w:rsidR="00000000" w:rsidRPr="00000000">
        <w:rPr>
          <w:rFonts w:ascii="Google Sans" w:cs="Google Sans" w:eastAsia="Google Sans" w:hAnsi="Google Sans"/>
          <w:color w:val="1f1f1f"/>
        </w:rPr>
        <w:drawing>
          <wp:inline distB="19050" distT="19050" distL="19050" distR="19050">
            <wp:extent cx="131326" cy="247202"/>
            <wp:effectExtent b="0" l="0" r="0" t="0"/>
            <wp:docPr id="86" name="image72.png"/>
            <a:graphic>
              <a:graphicData uri="http://schemas.openxmlformats.org/drawingml/2006/picture">
                <pic:pic>
                  <pic:nvPicPr>
                    <pic:cNvPr id="0" name="image72.png"/>
                    <pic:cNvPicPr preferRelativeResize="0"/>
                  </pic:nvPicPr>
                  <pic:blipFill>
                    <a:blip r:embed="rId12"/>
                    <a:srcRect b="0" l="0" r="0" t="0"/>
                    <a:stretch>
                      <a:fillRect/>
                    </a:stretch>
                  </pic:blipFill>
                  <pic:spPr>
                    <a:xfrm>
                      <a:off x="0" y="0"/>
                      <a:ext cx="131326" cy="2472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toma un valor predeterminado de </w:t>
      </w:r>
      <w:r w:rsidDel="00000000" w:rsidR="00000000" w:rsidRPr="00000000">
        <w:rPr>
          <w:rFonts w:ascii="Google Sans" w:cs="Google Sans" w:eastAsia="Google Sans" w:hAnsi="Google Sans"/>
          <w:color w:val="1f1f1f"/>
        </w:rPr>
        <w:drawing>
          <wp:inline distB="19050" distT="19050" distL="19050" distR="19050">
            <wp:extent cx="250507" cy="242679"/>
            <wp:effectExtent b="0" l="0" r="0" t="0"/>
            <wp:docPr id="92" name="image82.png"/>
            <a:graphic>
              <a:graphicData uri="http://schemas.openxmlformats.org/drawingml/2006/picture">
                <pic:pic>
                  <pic:nvPicPr>
                    <pic:cNvPr id="0" name="image82.png"/>
                    <pic:cNvPicPr preferRelativeResize="0"/>
                  </pic:nvPicPr>
                  <pic:blipFill>
                    <a:blip r:embed="rId13"/>
                    <a:srcRect b="0" l="0" r="0" t="0"/>
                    <a:stretch>
                      <a:fillRect/>
                    </a:stretch>
                  </pic:blipFill>
                  <pic:spPr>
                    <a:xfrm>
                      <a:off x="0" y="0"/>
                      <a:ext cx="250507" cy="2426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los perfiles biológicos masculinos y de </w:t>
      </w:r>
      <w:r w:rsidDel="00000000" w:rsidR="00000000" w:rsidRPr="00000000">
        <w:rPr>
          <w:rFonts w:ascii="Google Sans" w:cs="Google Sans" w:eastAsia="Google Sans" w:hAnsi="Google Sans"/>
          <w:color w:val="1f1f1f"/>
        </w:rPr>
        <w:drawing>
          <wp:inline distB="19050" distT="19050" distL="19050" distR="19050">
            <wp:extent cx="446484" cy="238638"/>
            <wp:effectExtent b="0" l="0" r="0" t="0"/>
            <wp:docPr id="90" name="image61.png"/>
            <a:graphic>
              <a:graphicData uri="http://schemas.openxmlformats.org/drawingml/2006/picture">
                <pic:pic>
                  <pic:nvPicPr>
                    <pic:cNvPr id="0" name="image61.png"/>
                    <pic:cNvPicPr preferRelativeResize="0"/>
                  </pic:nvPicPr>
                  <pic:blipFill>
                    <a:blip r:embed="rId14"/>
                    <a:srcRect b="0" l="0" r="0" t="0"/>
                    <a:stretch>
                      <a:fillRect/>
                    </a:stretch>
                  </pic:blipFill>
                  <pic:spPr>
                    <a:xfrm>
                      <a:off x="0" y="0"/>
                      <a:ext cx="446484" cy="238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los perfiles biológicos femeninos, corrigiendo empíricamente las divergencias en la masa muscular basal.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El numerador de esta primera fracción matemática produce la Tasa Metabólica en Reposo diaria total. Dado que la duración del bloque de estudio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97" name="image88.png"/>
            <a:graphic>
              <a:graphicData uri="http://schemas.openxmlformats.org/drawingml/2006/picture">
                <pic:pic>
                  <pic:nvPicPr>
                    <pic:cNvPr id="0" name="image88.png"/>
                    <pic:cNvPicPr preferRelativeResize="0"/>
                  </pic:nvPicPr>
                  <pic:blipFill>
                    <a:blip r:embed="rId15"/>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captura computacionalmente en segundos ininterrumpidos, se introduce el factor de conversión escalar de </w:t>
      </w:r>
      <w:r w:rsidDel="00000000" w:rsidR="00000000" w:rsidRPr="00000000">
        <w:rPr>
          <w:rFonts w:ascii="Google Sans" w:cs="Google Sans" w:eastAsia="Google Sans" w:hAnsi="Google Sans"/>
          <w:color w:val="1f1f1f"/>
        </w:rPr>
        <w:drawing>
          <wp:inline distB="19050" distT="19050" distL="19050" distR="19050">
            <wp:extent cx="489823" cy="241024"/>
            <wp:effectExtent b="0" l="0" r="0" t="0"/>
            <wp:docPr id="94" name="image68.png"/>
            <a:graphic>
              <a:graphicData uri="http://schemas.openxmlformats.org/drawingml/2006/picture">
                <pic:pic>
                  <pic:nvPicPr>
                    <pic:cNvPr id="0" name="image68.png"/>
                    <pic:cNvPicPr preferRelativeResize="0"/>
                  </pic:nvPicPr>
                  <pic:blipFill>
                    <a:blip r:embed="rId16"/>
                    <a:srcRect b="0" l="0" r="0" t="0"/>
                    <a:stretch>
                      <a:fillRect/>
                    </a:stretch>
                  </pic:blipFill>
                  <pic:spPr>
                    <a:xfrm>
                      <a:off x="0" y="0"/>
                      <a:ext cx="489823" cy="241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(los segundos totales en un ciclo de veinticuatro horas) en el denominador para destilar el RMR diario a una tasa fraccional de consumo calórico por segundo.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Finalmente, el coeficiente </w:t>
      </w:r>
      <w:r w:rsidDel="00000000" w:rsidR="00000000" w:rsidRPr="00000000">
        <w:rPr>
          <w:rFonts w:ascii="Google Sans" w:cs="Google Sans" w:eastAsia="Google Sans" w:hAnsi="Google Sans"/>
          <w:color w:val="1f1f1f"/>
        </w:rPr>
        <w:drawing>
          <wp:inline distB="19050" distT="19050" distL="19050" distR="19050">
            <wp:extent cx="1030843" cy="244348"/>
            <wp:effectExtent b="0" l="0" r="0" t="0"/>
            <wp:docPr id="96" name="image83.png"/>
            <a:graphic>
              <a:graphicData uri="http://schemas.openxmlformats.org/drawingml/2006/picture">
                <pic:pic>
                  <pic:nvPicPr>
                    <pic:cNvPr id="0" name="image83.png"/>
                    <pic:cNvPicPr preferRelativeResize="0"/>
                  </pic:nvPicPr>
                  <pic:blipFill>
                    <a:blip r:embed="rId17"/>
                    <a:srcRect b="0" l="0" r="0" t="0"/>
                    <a:stretch>
                      <a:fillRect/>
                    </a:stretch>
                  </pic:blipFill>
                  <pic:spPr>
                    <a:xfrm>
                      <a:off x="0" y="0"/>
                      <a:ext cx="1030843" cy="2443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actúa como el multiplicador de la demanda de la tarea específica.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 embargo, el esfuerzo mental sostenido no se limita a un mero coste calórico; impone una severa depleción neurológica. La arquitectura cognitiva humana, modelada extensivamente mediante sistemas computacionales como ACT-R (Adaptive Control of Thought-Rational) y diversos modelos de difusión biomatemática, demuestra inequívocamente que la fatiga derivada del tiempo ininterrumpido en la tarea (time-on-task) disminuye de forma drástica la relación señal-ruido en los procesos neurológicos de toma de decisiones.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Esta fatiga incrementa los microlapsos de inhibición de respuesta, evidenciando que la capacidad de atención opera bajo las restricciones físicas de un sistema biológico.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 fatiga cognitiva se entiende desde las teorías de agotamiento de recursos o depleción del ego, las cuales dictan que las tareas que requieren atención sostenida, enfoque intenso y control inhibitorio drenan un reservorio finito de energía cognitiva que no puede reponerse sin periodos de latencia adecuados.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Herramientas biomatemáticas de predicción de rendimiento, como el modelo SAFTE (Sleep, Activity, Fatigue, and Task Effectiveness), proyectan cambios en la efectividad cognitiva basándose en la interacción entre la homeostasis del sueño, los ritmos circadianos y la exigencia intrínseca de la tarea.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Para el contexto puramente académico de un usuario, la literatura en psicología del aprendizaje subraya que la degradación atencional no obedece a una caída lineal predecible. Por el contrario, la pérdida de atención exhibe un comportamiento de decaimiento exponencial, agravado significativamente a medida que el individuo encadena bloques de estudio prolongados sin los intervalos de reorientación estructurales (como los dictados por técnicas tipo Pomodoro ajustadas empíricamente).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Estudios con electroencefalografía y seguimiento ocular demuestran que las pausas métricas estructuradas reducen el tiempo de reorientación y previenen la caída libre en la fidelidad de la tarea.</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cuantificar esta Carga Cognitiva Acumulada (</w:t>
      </w:r>
      <w:r w:rsidDel="00000000" w:rsidR="00000000" w:rsidRPr="00000000">
        <w:rPr>
          <w:rFonts w:ascii="Google Sans" w:cs="Google Sans" w:eastAsia="Google Sans" w:hAnsi="Google Sans"/>
          <w:color w:val="1f1f1f"/>
        </w:rPr>
        <w:drawing>
          <wp:inline distB="19050" distT="19050" distL="19050" distR="19050">
            <wp:extent cx="294084" cy="247650"/>
            <wp:effectExtent b="0" l="0" r="0" t="0"/>
            <wp:docPr id="99" name="image84.png"/>
            <a:graphic>
              <a:graphicData uri="http://schemas.openxmlformats.org/drawingml/2006/picture">
                <pic:pic>
                  <pic:nvPicPr>
                    <pic:cNvPr id="0" name="image84.png"/>
                    <pic:cNvPicPr preferRelativeResize="0"/>
                  </pic:nvPicPr>
                  <pic:blipFill>
                    <a:blip r:embed="rId18"/>
                    <a:srcRect b="0" l="0" r="0" t="0"/>
                    <a:stretch>
                      <a:fillRect/>
                    </a:stretch>
                  </pic:blipFill>
                  <pic:spPr>
                    <a:xfrm>
                      <a:off x="0" y="0"/>
                      <a:ext cx="294084"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emplea un modelo híbrido de desintegración exponencial y acumulación logarítmica. A medida que el usuario completa bloques de estudio sucesivos, la carga bruta del sistema se incrementa de forma logarítmica (reflejando que los primeros instantes de concentración son más fluidos y menos costosos neurológicamente que los minutos terminales de una sesión maratoniana), mientras que la recuperación durante los descansos se comporta de manera exponencial.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Carga Cognitiva Acumulada del individuo tras completar </w:t>
      </w:r>
      <w:r w:rsidDel="00000000" w:rsidR="00000000" w:rsidRPr="00000000">
        <w:rPr>
          <w:rFonts w:ascii="Google Sans" w:cs="Google Sans" w:eastAsia="Google Sans" w:hAnsi="Google Sans"/>
          <w:color w:val="1f1f1f"/>
        </w:rPr>
        <w:drawing>
          <wp:inline distB="19050" distT="19050" distL="19050" distR="19050">
            <wp:extent cx="117634" cy="250952"/>
            <wp:effectExtent b="0" l="0" r="0" t="0"/>
            <wp:docPr id="100" name="image71.png"/>
            <a:graphic>
              <a:graphicData uri="http://schemas.openxmlformats.org/drawingml/2006/picture">
                <pic:pic>
                  <pic:nvPicPr>
                    <pic:cNvPr id="0" name="image71.png"/>
                    <pic:cNvPicPr preferRelativeResize="0"/>
                  </pic:nvPicPr>
                  <pic:blipFill>
                    <a:blip r:embed="rId19"/>
                    <a:srcRect b="0" l="0" r="0" t="0"/>
                    <a:stretch>
                      <a:fillRect/>
                    </a:stretch>
                  </pic:blipFill>
                  <pic:spPr>
                    <a:xfrm>
                      <a:off x="0" y="0"/>
                      <a:ext cx="117634" cy="250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bloques de estudio consecutivos se define rigurosamente como: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72126"/>
            <wp:effectExtent b="0" l="0" r="0" t="0"/>
            <wp:docPr id="101" name="image70.png"/>
            <a:graphic>
              <a:graphicData uri="http://schemas.openxmlformats.org/drawingml/2006/picture">
                <pic:pic>
                  <pic:nvPicPr>
                    <pic:cNvPr id="0" name="image70.png"/>
                    <pic:cNvPicPr preferRelativeResize="0"/>
                  </pic:nvPicPr>
                  <pic:blipFill>
                    <a:blip r:embed="rId20"/>
                    <a:srcRect b="0" l="0" r="0" t="0"/>
                    <a:stretch>
                      <a:fillRect/>
                    </a:stretch>
                  </pic:blipFill>
                  <pic:spPr>
                    <a:xfrm>
                      <a:off x="0" y="0"/>
                      <a:ext cx="5905500" cy="97212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paralelo, la Eficacia Atencional Disponible del usuario en un tiempo continuo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102" name="image88.png"/>
            <a:graphic>
              <a:graphicData uri="http://schemas.openxmlformats.org/drawingml/2006/picture">
                <pic:pic>
                  <pic:nvPicPr>
                    <pic:cNvPr id="0" name="image88.png"/>
                    <pic:cNvPicPr preferRelativeResize="0"/>
                  </pic:nvPicPr>
                  <pic:blipFill>
                    <a:blip r:embed="rId15"/>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dentro de un mismo bloque sigue la siguiente ley de decaimiento: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81149"/>
            <wp:effectExtent b="0" l="0" r="0" t="0"/>
            <wp:docPr id="103" name="image77.png"/>
            <a:graphic>
              <a:graphicData uri="http://schemas.openxmlformats.org/drawingml/2006/picture">
                <pic:pic>
                  <pic:nvPicPr>
                    <pic:cNvPr id="0" name="image77.png"/>
                    <pic:cNvPicPr preferRelativeResize="0"/>
                  </pic:nvPicPr>
                  <pic:blipFill>
                    <a:blip r:embed="rId21"/>
                    <a:srcRect b="0" l="0" r="0" t="0"/>
                    <a:stretch>
                      <a:fillRect/>
                    </a:stretch>
                  </pic:blipFill>
                  <pic:spPr>
                    <a:xfrm>
                      <a:off x="0" y="0"/>
                      <a:ext cx="5905500" cy="68114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análisis técnico de estas variables establece a </w:t>
      </w:r>
      <w:r w:rsidDel="00000000" w:rsidR="00000000" w:rsidRPr="00000000">
        <w:rPr>
          <w:rFonts w:ascii="Google Sans" w:cs="Google Sans" w:eastAsia="Google Sans" w:hAnsi="Google Sans"/>
          <w:color w:val="1f1f1f"/>
        </w:rPr>
        <w:drawing>
          <wp:inline distB="19050" distT="19050" distL="19050" distR="19050">
            <wp:extent cx="386239" cy="242346"/>
            <wp:effectExtent b="0" l="0" r="0" t="0"/>
            <wp:docPr id="10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86239" cy="2423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como un índice escalar adimensional que cuantifica la tensión neurológica residual. Esta métrica operará como la variable de estado principal en los algoritmos de regulación cruzada posteriores. La variable </w:t>
      </w:r>
      <w:r w:rsidDel="00000000" w:rsidR="00000000" w:rsidRPr="00000000">
        <w:rPr>
          <w:rFonts w:ascii="Google Sans" w:cs="Google Sans" w:eastAsia="Google Sans" w:hAnsi="Google Sans"/>
          <w:color w:val="1f1f1f"/>
        </w:rPr>
        <w:drawing>
          <wp:inline distB="19050" distT="19050" distL="19050" distR="19050">
            <wp:extent cx="127992" cy="255984"/>
            <wp:effectExtent b="0" l="0" r="0" t="0"/>
            <wp:docPr id="105" name="image76.png"/>
            <a:graphic>
              <a:graphicData uri="http://schemas.openxmlformats.org/drawingml/2006/picture">
                <pic:pic>
                  <pic:nvPicPr>
                    <pic:cNvPr id="0" name="image76.png"/>
                    <pic:cNvPicPr preferRelativeResize="0"/>
                  </pic:nvPicPr>
                  <pic:blipFill>
                    <a:blip r:embed="rId23"/>
                    <a:srcRect b="0" l="0" r="0" t="0"/>
                    <a:stretch>
                      <a:fillRect/>
                    </a:stretch>
                  </pic:blipFill>
                  <pic:spPr>
                    <a:xfrm>
                      <a:off x="0" y="0"/>
                      <a:ext cx="127992" cy="255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la duración efectiva del bloque de estudio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106" name="image58.png"/>
            <a:graphic>
              <a:graphicData uri="http://schemas.openxmlformats.org/drawingml/2006/picture">
                <pic:pic>
                  <pic:nvPicPr>
                    <pic:cNvPr id="0" name="image58.png"/>
                    <pic:cNvPicPr preferRelativeResize="0"/>
                  </pic:nvPicPr>
                  <pic:blipFill>
                    <a:blip r:embed="rId24"/>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minutos. El coeficiente multiplicador de dificultad de la materia (</w:t>
      </w:r>
      <w:r w:rsidDel="00000000" w:rsidR="00000000" w:rsidRPr="00000000">
        <w:rPr>
          <w:rFonts w:ascii="Google Sans" w:cs="Google Sans" w:eastAsia="Google Sans" w:hAnsi="Google Sans"/>
          <w:color w:val="1f1f1f"/>
        </w:rPr>
        <w:drawing>
          <wp:inline distB="19050" distT="19050" distL="19050" distR="19050">
            <wp:extent cx="345757" cy="215138"/>
            <wp:effectExtent b="0" l="0" r="0" t="0"/>
            <wp:docPr id="71"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345757" cy="215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pondera la complejidad intrínseca de la tarea, oscilando desde valores unitarios para lectura pasiva hasta valores superiores a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72" name="image49.png"/>
            <a:graphic>
              <a:graphicData uri="http://schemas.openxmlformats.org/drawingml/2006/picture">
                <pic:pic>
                  <pic:nvPicPr>
                    <pic:cNvPr id="0" name="image49.png"/>
                    <pic:cNvPicPr preferRelativeResize="0"/>
                  </pic:nvPicPr>
                  <pic:blipFill>
                    <a:blip r:embed="rId26"/>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la resolución de matemáticas de alto nivel, programación profunda o aprendizaje de idiomas, tareas caracterizadas computacionalmente por una alta demanda de memoria de trabajo.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recuperación intercalada se introduce mediante </w:t>
      </w:r>
      <w:r w:rsidDel="00000000" w:rsidR="00000000" w:rsidRPr="00000000">
        <w:rPr>
          <w:rFonts w:ascii="Google Sans" w:cs="Google Sans" w:eastAsia="Google Sans" w:hAnsi="Google Sans"/>
          <w:color w:val="1f1f1f"/>
        </w:rPr>
        <w:drawing>
          <wp:inline distB="19050" distT="19050" distL="19050" distR="19050">
            <wp:extent cx="325636" cy="217091"/>
            <wp:effectExtent b="0" l="0" r="0" t="0"/>
            <wp:docPr id="73"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325636" cy="2170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representa el tiempo de latencia (descanso) tomado antes de iniciar el bloque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74" name="image58.png"/>
            <a:graphic>
              <a:graphicData uri="http://schemas.openxmlformats.org/drawingml/2006/picture">
                <pic:pic>
                  <pic:nvPicPr>
                    <pic:cNvPr id="0" name="image58.png"/>
                    <pic:cNvPicPr preferRelativeResize="0"/>
                  </pic:nvPicPr>
                  <pic:blipFill>
                    <a:blip r:embed="rId24"/>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Este descanso es modulado por la constante de disipación de fatiga (</w:t>
      </w:r>
      <w:r w:rsidDel="00000000" w:rsidR="00000000" w:rsidRPr="00000000">
        <w:rPr>
          <w:rFonts w:ascii="Google Sans" w:cs="Google Sans" w:eastAsia="Google Sans" w:hAnsi="Google Sans"/>
          <w:color w:val="1f1f1f"/>
        </w:rPr>
        <w:drawing>
          <wp:inline distB="19050" distT="19050" distL="19050" distR="19050">
            <wp:extent cx="112871" cy="240792"/>
            <wp:effectExtent b="0" l="0" r="0" t="0"/>
            <wp:docPr id="75" name="image86.png"/>
            <a:graphic>
              <a:graphicData uri="http://schemas.openxmlformats.org/drawingml/2006/picture">
                <pic:pic>
                  <pic:nvPicPr>
                    <pic:cNvPr id="0" name="image86.png"/>
                    <pic:cNvPicPr preferRelativeResize="0"/>
                  </pic:nvPicPr>
                  <pic:blipFill>
                    <a:blip r:embed="rId28"/>
                    <a:srcRect b="0" l="0" r="0" t="0"/>
                    <a:stretch>
                      <a:fillRect/>
                    </a:stretch>
                  </pic:blipFill>
                  <pic:spPr>
                    <a:xfrm>
                      <a:off x="0" y="0"/>
                      <a:ext cx="112871" cy="240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típicamente calibrada en </w:t>
      </w:r>
      <w:r w:rsidDel="00000000" w:rsidR="00000000" w:rsidRPr="00000000">
        <w:rPr>
          <w:rFonts w:ascii="Google Sans" w:cs="Google Sans" w:eastAsia="Google Sans" w:hAnsi="Google Sans"/>
          <w:color w:val="1f1f1f"/>
        </w:rPr>
        <w:drawing>
          <wp:inline distB="19050" distT="19050" distL="19050" distR="19050">
            <wp:extent cx="348377" cy="234776"/>
            <wp:effectExtent b="0" l="0" r="0" t="0"/>
            <wp:docPr id="76" name="image59.png"/>
            <a:graphic>
              <a:graphicData uri="http://schemas.openxmlformats.org/drawingml/2006/picture">
                <pic:pic>
                  <pic:nvPicPr>
                    <pic:cNvPr id="0" name="image59.png"/>
                    <pic:cNvPicPr preferRelativeResize="0"/>
                  </pic:nvPicPr>
                  <pic:blipFill>
                    <a:blip r:embed="rId29"/>
                    <a:srcRect b="0" l="0" r="0" t="0"/>
                    <a:stretch>
                      <a:fillRect/>
                    </a:stretch>
                  </pic:blipFill>
                  <pic:spPr>
                    <a:xfrm>
                      <a:off x="0" y="0"/>
                      <a:ext cx="348377" cy="234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min$^{-1}</w:t>
      </w:r>
      <w:r w:rsidDel="00000000" w:rsidR="00000000" w:rsidRPr="00000000">
        <w:rPr>
          <w:rFonts w:ascii="Google Sans" w:cs="Google Sans" w:eastAsia="Google Sans" w:hAnsi="Google Sans"/>
          <w:color w:val="1f1f1f"/>
        </w:rPr>
        <w:drawing>
          <wp:inline distB="19050" distT="19050" distL="19050" distR="19050">
            <wp:extent cx="5905500" cy="44313"/>
            <wp:effectExtent b="0" l="0" r="0" t="0"/>
            <wp:docPr id="77" name="image63.png"/>
            <a:graphic>
              <a:graphicData uri="http://schemas.openxmlformats.org/drawingml/2006/picture">
                <pic:pic>
                  <pic:nvPicPr>
                    <pic:cNvPr id="0" name="image63.png"/>
                    <pic:cNvPicPr preferRelativeResize="0"/>
                  </pic:nvPicPr>
                  <pic:blipFill>
                    <a:blip r:embed="rId30"/>
                    <a:srcRect b="0" l="0" r="0" t="0"/>
                    <a:stretch>
                      <a:fillRect/>
                    </a:stretch>
                  </pic:blipFill>
                  <pic:spPr>
                    <a:xfrm>
                      <a:off x="0" y="0"/>
                      <a:ext cx="5905500" cy="44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\rho$) se deriva empíricamente de la curva de la ley de potencia de la atención humana, calibrada a menudo para reflejar la caída abrupta del rendimiento que los sujetos experimentan tras veinticinco minutos de foco profundo sin adaptación.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Finalmente, la constante </w:t>
      </w:r>
      <w:r w:rsidDel="00000000" w:rsidR="00000000" w:rsidRPr="00000000">
        <w:rPr>
          <w:rFonts w:ascii="Google Sans" w:cs="Google Sans" w:eastAsia="Google Sans" w:hAnsi="Google Sans"/>
          <w:color w:val="1f1f1f"/>
        </w:rPr>
        <w:drawing>
          <wp:inline distB="19050" distT="19050" distL="19050" distR="19050">
            <wp:extent cx="107871" cy="265528"/>
            <wp:effectExtent b="0" l="0" r="0" t="0"/>
            <wp:docPr id="78" name="image55.png"/>
            <a:graphic>
              <a:graphicData uri="http://schemas.openxmlformats.org/drawingml/2006/picture">
                <pic:pic>
                  <pic:nvPicPr>
                    <pic:cNvPr id="0" name="image55.png"/>
                    <pic:cNvPicPr preferRelativeResize="0"/>
                  </pic:nvPicPr>
                  <pic:blipFill>
                    <a:blip r:embed="rId31"/>
                    <a:srcRect b="0" l="0" r="0" t="0"/>
                    <a:stretch>
                      <a:fillRect/>
                    </a:stretch>
                  </pic:blipFill>
                  <pic:spPr>
                    <a:xfrm>
                      <a:off x="0" y="0"/>
                      <a:ext cx="107871" cy="2655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la resistencia sistémica a la fatiga, una variable que puede expandirse a largo plazo a través de la neuroplasticidad inducida por el hábito de estudio recurrente.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persistir la inmensa densidad de estos estados dinámicos de manera escalable, la arquitectura de la base de datos relacional debe separar estrictamente los eventos inmutables históricos de los estados neurofisiológicos mutables en tiempo real.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Nombre de Columna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Dato (PostgreSQL)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Restricciones Estructurales y Justificación Técnica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Tabla:</w:t>
            </w:r>
            <w:r w:rsidDel="00000000" w:rsidR="00000000" w:rsidRPr="00000000">
              <w:rPr>
                <w:rFonts w:ascii="Google Sans" w:cs="Google Sans" w:eastAsia="Google Sans" w:hAnsi="Google Sans"/>
                <w:color w:val="1f1f1f"/>
                <w:shd w:fill="auto" w:val="clear"/>
                <w:rtl w:val="0"/>
              </w:rPr>
              <w:t xml:space="preserve"> academic_study_blocks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Contiene los eventos atómicos inmutables de estudio y su coste calculado.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block_id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 DEFAULT gen_random_uuid(). Previene colisiones en entornos distribuidos.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KEY REFERENCES users(user_id) ON DELETE CASCADE. Garantiza integridad referencial.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 WITH TIME ZONE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 Fija el inicio absoluto del evento considerando la zona horaria del dispositivo.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ended_at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 WITH TIME ZONE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 CHECK (ended_at &gt; started_at). Previene registros de tiempo invertidos por latencia de 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duration_seconds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GENERATED ALWAYS AS (EXTRACT(EPOCH FROM (ended_at - started_at))) STORED. Computado a nivel de base de datos para optimizar lecturas.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task_type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VARCHAR(50)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 Categoriza la actividad (ej. 'deep_reading', 'problem_solving') para derivar el </w:t>
            </w:r>
            <w:r w:rsidDel="00000000" w:rsidR="00000000" w:rsidRPr="00000000">
              <w:rPr>
                <w:rFonts w:ascii="Google Sans" w:cs="Google Sans" w:eastAsia="Google Sans" w:hAnsi="Google Sans"/>
                <w:color w:val="1f1f1f"/>
                <w:shd w:fill="auto" w:val="clear"/>
              </w:rPr>
              <w:drawing>
                <wp:inline distB="19050" distT="19050" distL="19050" distR="19050">
                  <wp:extent cx="345757" cy="215138"/>
                  <wp:effectExtent b="0" l="0" r="0" t="0"/>
                  <wp:docPr id="79"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345757" cy="21513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met_value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NUMERIC(4,2)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 NULL DEFAULT 1.30. Coeficiente base extraído del Compendio para auditorías futuras.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calories_burned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NUMERIC(6,2)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 Resultado de la ecuación de Mifflin-St Jeor inyectado desde el backend.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cognitive_load_generated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 Valor </w:t>
            </w:r>
            <w:r w:rsidDel="00000000" w:rsidR="00000000" w:rsidRPr="00000000">
              <w:rPr>
                <w:rFonts w:ascii="Google Sans" w:cs="Google Sans" w:eastAsia="Google Sans" w:hAnsi="Google Sans"/>
                <w:color w:val="1f1f1f"/>
                <w:shd w:fill="auto" w:val="clear"/>
              </w:rPr>
              <w:drawing>
                <wp:inline distB="19050" distT="19050" distL="19050" distR="19050">
                  <wp:extent cx="403503" cy="217271"/>
                  <wp:effectExtent b="0" l="0" r="0" t="0"/>
                  <wp:docPr id="80" name="image51.png"/>
                  <a:graphic>
                    <a:graphicData uri="http://schemas.openxmlformats.org/drawingml/2006/picture">
                      <pic:pic>
                        <pic:nvPicPr>
                          <pic:cNvPr id="0" name="image51.png"/>
                          <pic:cNvPicPr preferRelativeResize="0"/>
                        </pic:nvPicPr>
                        <pic:blipFill>
                          <a:blip r:embed="rId32"/>
                          <a:srcRect b="0" l="0" r="0" t="0"/>
                          <a:stretch>
                            <a:fillRect/>
                          </a:stretch>
                        </pic:blipFill>
                        <pic:spPr>
                          <a:xfrm>
                            <a:off x="0" y="0"/>
                            <a:ext cx="403503" cy="21727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fraccional aportado exclusivamente por este bloque específico.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Tabla:</w:t>
            </w:r>
            <w:r w:rsidDel="00000000" w:rsidR="00000000" w:rsidRPr="00000000">
              <w:rPr>
                <w:rFonts w:ascii="Google Sans" w:cs="Google Sans" w:eastAsia="Google Sans" w:hAnsi="Google Sans"/>
                <w:color w:val="1f1f1f"/>
                <w:shd w:fill="auto" w:val="clear"/>
                <w:rtl w:val="0"/>
              </w:rPr>
              <w:t xml:space="preserve"> user_cognitive_state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Registro de estado único por usuario (1:1) mutado continuamente por el motor.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 FOREIGN KEY REFERENCES users(user_id). Vinculación estricta y exclusiva.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current_cognitive_load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Valor actual de </w:t>
            </w:r>
            <w:r w:rsidDel="00000000" w:rsidR="00000000" w:rsidRPr="00000000">
              <w:rPr>
                <w:rFonts w:ascii="Google Sans" w:cs="Google Sans" w:eastAsia="Google Sans" w:hAnsi="Google Sans"/>
                <w:color w:val="1f1f1f"/>
                <w:shd w:fill="auto" w:val="clear"/>
              </w:rPr>
              <w:drawing>
                <wp:inline distB="19050" distT="19050" distL="19050" distR="19050">
                  <wp:extent cx="386239" cy="242346"/>
                  <wp:effectExtent b="0" l="0" r="0" t="0"/>
                  <wp:docPr id="1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86239" cy="24234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Sometido a rutinas de decaimiento temporal en segundo plano (cron jobs).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current_attention_capacity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Valor </w:t>
            </w:r>
            <w:r w:rsidDel="00000000" w:rsidR="00000000" w:rsidRPr="00000000">
              <w:rPr>
                <w:rFonts w:ascii="Google Sans" w:cs="Google Sans" w:eastAsia="Google Sans" w:hAnsi="Google Sans"/>
                <w:color w:val="1f1f1f"/>
                <w:shd w:fill="auto" w:val="clear"/>
              </w:rPr>
              <w:drawing>
                <wp:inline distB="19050" distT="19050" distL="19050" distR="19050">
                  <wp:extent cx="326588" cy="217726"/>
                  <wp:effectExtent b="0" l="0" r="0" t="0"/>
                  <wp:docPr id="18"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326588" cy="21772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proyectado de 0.000 a 1.000. CHECK (current_attention_capacity BETWEEN 0 AND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last_rest_timestamp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 WITH TIME ZONE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Fundamental para calcular </w:t>
            </w:r>
            <w:r w:rsidDel="00000000" w:rsidR="00000000" w:rsidRPr="00000000">
              <w:rPr>
                <w:rFonts w:ascii="Google Sans" w:cs="Google Sans" w:eastAsia="Google Sans" w:hAnsi="Google Sans"/>
                <w:color w:val="1f1f1f"/>
                <w:shd w:fill="auto" w:val="clear"/>
              </w:rPr>
              <w:drawing>
                <wp:inline distB="19050" distT="19050" distL="19050" distR="19050">
                  <wp:extent cx="325636" cy="217091"/>
                  <wp:effectExtent b="0" l="0" r="0" t="0"/>
                  <wp:docPr id="1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325636" cy="2170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al iniciar un nuevo evento académico.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baseline_rmr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NUMERIC(6,2)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Gasto basal persistido para evitar ejecutar la aritmética de Mifflin-St Jeor en cada iteración de bloque.</w:t>
            </w:r>
          </w:p>
        </w:tc>
      </w:tr>
    </w:tbl>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Algoritmos de Regulación Cruzada (El Núcleo del Equilibrio)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máxima innovación científica de un sistema híbrido radica en la capacidad de cruzar metadatos en tiempo real entre las dimensiones biológicas y académicas del individuo. La literatura en ciencias del deporte y neurociencia cognitiva ha derribado la concepción dualista del agotamiento humano. El Modelo del Gobernador Central (Central Governor Model), introducido inicialmente en 1924 por el fisiólogo Archibald Hill y profundamente reestructurado en 1997 por el científico del ejercicio Tim Noakes, postula que la fatiga física no es meramente un fallo catastrófico periférico (como el agotamiento de glucógeno o la acumulación de metabolitos en el músculo local), sino una emoción protectora regulada activamente por el cerebro.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Este "gobernador" central restringe el reclutamiento de unidades motoras para evitar umbrales críticos, como la anoxia del músculo cardíaco o el colapso homeostático generalizado.</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Investigaciones paradigmáticas posteriores, como las lideradas por Samuele Marcora en el </w:t>
      </w:r>
      <w:r w:rsidDel="00000000" w:rsidR="00000000" w:rsidRPr="00000000">
        <w:rPr>
          <w:rFonts w:ascii="Google Sans" w:cs="Google Sans" w:eastAsia="Google Sans" w:hAnsi="Google Sans"/>
          <w:i w:val="1"/>
          <w:iCs w:val="1"/>
          <w:color w:val="1f1f1f"/>
          <w:rtl w:val="0"/>
        </w:rPr>
        <w:t xml:space="preserve">Journal of Applied Physiology</w:t>
      </w:r>
      <w:r w:rsidDel="00000000" w:rsidR="00000000" w:rsidRPr="00000000">
        <w:rPr>
          <w:rFonts w:ascii="Google Sans" w:cs="Google Sans" w:eastAsia="Google Sans" w:hAnsi="Google Sans"/>
          <w:color w:val="1f1f1f"/>
          <w:rtl w:val="0"/>
        </w:rPr>
        <w:t xml:space="preserve">, han ampliado esta teoría demostrando que la fatiga mental severa perjudica de manera directa y cuantitativa el rendimiento físico humano.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El agotamiento de los recursos cognitivos no altera las capacidades cardiorrespiratorias o musculoenergéticas base del individuo, pero incrementa patológicamente la Percepción Subjetiva del Esfuerzo (RPE, por sus siglas en inglés).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En consecuencia, los sujetos mentalmente fatigados alcanzan su nivel máximo de esfuerzo tolerado de manera prematura y abandonan la tarea física mucho antes que en estados de control.</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Cuando un usuario de la aplicación se enfrenta a eventos académicos de alta prioridad —como la proximidad de un examen final o la entrega de una tesis— su nivel de estrés psicológico y la consecuente Carga Cognitiva Acumulada experimentan un crecimiento hiperbólico. Este estrés psicosocial pre-examen no solo compromete la motivación, sino que correlaciona directamente con un deterioro en la calidad y duración del sueño, convirtiéndose estadísticamente en un factor predictivo altamente significativo para la aparición de lesiones deportivas.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lo tanto, es perentorio que el motor algorítmico intervenga mediante la aplicación de una fase de Descarga Controlada (Deloading). En la periodización deportiva profesional, el </w:t>
      </w:r>
      <w:r w:rsidDel="00000000" w:rsidR="00000000" w:rsidRPr="00000000">
        <w:rPr>
          <w:rFonts w:ascii="Google Sans" w:cs="Google Sans" w:eastAsia="Google Sans" w:hAnsi="Google Sans"/>
          <w:i w:val="1"/>
          <w:iCs w:val="1"/>
          <w:color w:val="1f1f1f"/>
          <w:rtl w:val="0"/>
        </w:rPr>
        <w:t xml:space="preserve">deloading</w:t>
      </w:r>
      <w:r w:rsidDel="00000000" w:rsidR="00000000" w:rsidRPr="00000000">
        <w:rPr>
          <w:rFonts w:ascii="Google Sans" w:cs="Google Sans" w:eastAsia="Google Sans" w:hAnsi="Google Sans"/>
          <w:color w:val="1f1f1f"/>
          <w:rtl w:val="0"/>
        </w:rPr>
        <w:t xml:space="preserve"> consiste en una manipulación programada del volumen y la intensidad del entrenamiento destinada a disipar la fatiga acumulada en el sistema, permitiendo la expresión plena del fitness físico latente y protegiendo los tejidos conectivos.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El sistema debe leer continuamente la Carga Cognitiva Acumulada (</w:t>
      </w:r>
      <w:r w:rsidDel="00000000" w:rsidR="00000000" w:rsidRPr="00000000">
        <w:rPr>
          <w:rFonts w:ascii="Google Sans" w:cs="Google Sans" w:eastAsia="Google Sans" w:hAnsi="Google Sans"/>
          <w:color w:val="1f1f1f"/>
        </w:rPr>
        <w:drawing>
          <wp:inline distB="19050" distT="19050" distL="19050" distR="19050">
            <wp:extent cx="386239" cy="242346"/>
            <wp:effectExtent b="0" l="0" r="0" t="0"/>
            <wp:docPr id="2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86239" cy="2423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la proximidad temporal del evento estresor para imponer una atenuación algorítmica sobre el Volumen de Entrenamiento Físico Planificado (</w:t>
      </w:r>
      <w:r w:rsidDel="00000000" w:rsidR="00000000" w:rsidRPr="00000000">
        <w:rPr>
          <w:rFonts w:ascii="Google Sans" w:cs="Google Sans" w:eastAsia="Google Sans" w:hAnsi="Google Sans"/>
          <w:color w:val="1f1f1f"/>
        </w:rPr>
        <w:drawing>
          <wp:inline distB="19050" distT="19050" distL="19050" distR="19050">
            <wp:extent cx="391358" cy="245558"/>
            <wp:effectExtent b="0" l="0" r="0" t="0"/>
            <wp:docPr id="21"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391358" cy="2455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Ecuación de Regulación de Volumen Modificado (</w:t>
      </w:r>
      <w:r w:rsidDel="00000000" w:rsidR="00000000" w:rsidRPr="00000000">
        <w:rPr>
          <w:rFonts w:ascii="Google Sans" w:cs="Google Sans" w:eastAsia="Google Sans" w:hAnsi="Google Sans"/>
          <w:color w:val="1f1f1f"/>
        </w:rPr>
        <w:drawing>
          <wp:inline distB="19050" distT="19050" distL="19050" distR="19050">
            <wp:extent cx="382310" cy="244678"/>
            <wp:effectExtent b="0" l="0" r="0" t="0"/>
            <wp:docPr id="22"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82310" cy="244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por Estrés Académico se define mediante una función de atenuación asintótica: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72929"/>
            <wp:effectExtent b="0" l="0" r="0" t="0"/>
            <wp:docPr id="23"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905500" cy="872929"/>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Volumen Modificado (</w:t>
      </w:r>
      <w:r w:rsidDel="00000000" w:rsidR="00000000" w:rsidRPr="00000000">
        <w:rPr>
          <w:rFonts w:ascii="Google Sans" w:cs="Google Sans" w:eastAsia="Google Sans" w:hAnsi="Google Sans"/>
          <w:color w:val="1f1f1f"/>
        </w:rPr>
        <w:drawing>
          <wp:inline distB="19050" distT="19050" distL="19050" distR="19050">
            <wp:extent cx="382310" cy="244678"/>
            <wp:effectExtent b="0" l="0" r="0" t="0"/>
            <wp:docPr id="24"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82310" cy="244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resultante dictamina la cantidad total de trabajo físico recomendado (traducido operativamente a series, repeticiones o tonelaje total en entrenamiento de fuerza, o duración en minutos para ejercicios de resistencia cardiovascular). Este valor se deriva de someter el Volumen Base programado originalmente (</w:t>
      </w:r>
      <w:r w:rsidDel="00000000" w:rsidR="00000000" w:rsidRPr="00000000">
        <w:rPr>
          <w:rFonts w:ascii="Google Sans" w:cs="Google Sans" w:eastAsia="Google Sans" w:hAnsi="Google Sans"/>
          <w:color w:val="1f1f1f"/>
        </w:rPr>
        <w:drawing>
          <wp:inline distB="19050" distT="19050" distL="19050" distR="19050">
            <wp:extent cx="391358" cy="245558"/>
            <wp:effectExtent b="0" l="0" r="0" t="0"/>
            <wp:docPr id="25"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391358" cy="2455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un factor de reducción proporcional a la crisis cognitiva en curso. La variable </w:t>
      </w:r>
      <w:r w:rsidDel="00000000" w:rsidR="00000000" w:rsidRPr="00000000">
        <w:rPr>
          <w:rFonts w:ascii="Google Sans" w:cs="Google Sans" w:eastAsia="Google Sans" w:hAnsi="Google Sans"/>
          <w:color w:val="1f1f1f"/>
        </w:rPr>
        <w:drawing>
          <wp:inline distB="19050" distT="19050" distL="19050" distR="19050">
            <wp:extent cx="386239" cy="242346"/>
            <wp:effectExtent b="0" l="0" r="0" t="0"/>
            <wp:docPr id="2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86239" cy="2423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el nivel actual de desgaste mental del usuario, analizado frente a su techo empírico (</w:t>
      </w:r>
      <w:r w:rsidDel="00000000" w:rsidR="00000000" w:rsidRPr="00000000">
        <w:rPr>
          <w:rFonts w:ascii="Google Sans" w:cs="Google Sans" w:eastAsia="Google Sans" w:hAnsi="Google Sans"/>
          <w:color w:val="1f1f1f"/>
        </w:rPr>
        <w:drawing>
          <wp:inline distB="19050" distT="19050" distL="19050" distR="19050">
            <wp:extent cx="575310" cy="245466"/>
            <wp:effectExtent b="0" l="0" r="0" t="0"/>
            <wp:docPr id="1"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75310" cy="2454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cual representa el umbral teórico donde la asimilación académica y la voluntad caen por debajo de la viabilidad funcional.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urgencia temporal se introduce mediante la variable </w:t>
      </w:r>
      <w:r w:rsidDel="00000000" w:rsidR="00000000" w:rsidRPr="00000000">
        <w:rPr>
          <w:rFonts w:ascii="Google Sans" w:cs="Google Sans" w:eastAsia="Google Sans" w:hAnsi="Google Sans"/>
          <w:color w:val="1f1f1f"/>
        </w:rPr>
        <w:drawing>
          <wp:inline distB="19050" distT="19050" distL="19050" distR="19050">
            <wp:extent cx="101917" cy="250874"/>
            <wp:effectExtent b="0" l="0" r="0" t="0"/>
            <wp:docPr id="2"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101917" cy="2508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correspondiente a los días cronológicos restantes hasta el evento académico crítico. Esta variable interactúa con la constante de sensibilidad de calendario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3" name="image73.png"/>
            <a:graphic>
              <a:graphicData uri="http://schemas.openxmlformats.org/drawingml/2006/picture">
                <pic:pic>
                  <pic:nvPicPr>
                    <pic:cNvPr id="0" name="image73.png"/>
                    <pic:cNvPicPr preferRelativeResize="0"/>
                  </pic:nvPicPr>
                  <pic:blipFill>
                    <a:blip r:embed="rId39"/>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(por ejemplo, fijada en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4"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función exponencial </w:t>
      </w:r>
      <w:r w:rsidDel="00000000" w:rsidR="00000000" w:rsidRPr="00000000">
        <w:rPr>
          <w:rFonts w:ascii="Google Sans" w:cs="Google Sans" w:eastAsia="Google Sans" w:hAnsi="Google Sans"/>
          <w:color w:val="1f1f1f"/>
        </w:rPr>
        <w:drawing>
          <wp:inline distB="19050" distT="19050" distL="19050" distR="19050">
            <wp:extent cx="393025" cy="246604"/>
            <wp:effectExtent b="0" l="0" r="0" t="0"/>
            <wp:docPr id="5"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393025" cy="246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asegura que la intervención preventiva sea imperceptible cuando el examen está a un mes de distancia (</w:t>
      </w:r>
      <w:r w:rsidDel="00000000" w:rsidR="00000000" w:rsidRPr="00000000">
        <w:rPr>
          <w:rFonts w:ascii="Google Sans" w:cs="Google Sans" w:eastAsia="Google Sans" w:hAnsi="Google Sans"/>
          <w:color w:val="1f1f1f"/>
        </w:rPr>
        <w:drawing>
          <wp:inline distB="19050" distT="19050" distL="19050" distR="19050">
            <wp:extent cx="559237" cy="245145"/>
            <wp:effectExtent b="0" l="0" r="0" t="0"/>
            <wp:docPr id="6"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59237" cy="2451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pero adquiera una fuerza gravitatoria abrumadora cuando restan cuarenta y ocho horas (</w:t>
      </w:r>
      <w:r w:rsidDel="00000000" w:rsidR="00000000" w:rsidRPr="00000000">
        <w:rPr>
          <w:rFonts w:ascii="Google Sans" w:cs="Google Sans" w:eastAsia="Google Sans" w:hAnsi="Google Sans"/>
          <w:color w:val="1f1f1f"/>
        </w:rPr>
        <w:drawing>
          <wp:inline distB="19050" distT="19050" distL="19050" distR="19050">
            <wp:extent cx="461248" cy="245999"/>
            <wp:effectExtent b="0" l="0" r="0" t="0"/>
            <wp:docPr id="7"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461248" cy="2459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constante de severidad de descarga deportiva, </w:t>
      </w:r>
      <w:r w:rsidDel="00000000" w:rsidR="00000000" w:rsidRPr="00000000">
        <w:rPr>
          <w:rFonts w:ascii="Google Sans" w:cs="Google Sans" w:eastAsia="Google Sans" w:hAnsi="Google Sans"/>
          <w:color w:val="1f1f1f"/>
        </w:rPr>
        <w:drawing>
          <wp:inline distB="19050" distT="19050" distL="19050" distR="19050">
            <wp:extent cx="126206" cy="252413"/>
            <wp:effectExtent b="0" l="0" r="0" t="0"/>
            <wp:docPr id="8"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126206" cy="252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modula el límite inferior de la penalización. Un ajuste óptimo de </w:t>
      </w:r>
      <w:r w:rsidDel="00000000" w:rsidR="00000000" w:rsidRPr="00000000">
        <w:rPr>
          <w:rFonts w:ascii="Google Sans" w:cs="Google Sans" w:eastAsia="Google Sans" w:hAnsi="Google Sans"/>
          <w:color w:val="1f1f1f"/>
        </w:rPr>
        <w:drawing>
          <wp:inline distB="19050" distT="19050" distL="19050" distR="19050">
            <wp:extent cx="126206" cy="252413"/>
            <wp:effectExtent b="0" l="0" r="0" t="0"/>
            <wp:docPr id="9"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126206" cy="252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entre </w:t>
      </w:r>
      <w:r w:rsidDel="00000000" w:rsidR="00000000" w:rsidRPr="00000000">
        <w:rPr>
          <w:rFonts w:ascii="Google Sans" w:cs="Google Sans" w:eastAsia="Google Sans" w:hAnsi="Google Sans"/>
          <w:color w:val="1f1f1f"/>
        </w:rPr>
        <w:drawing>
          <wp:inline distB="19050" distT="19050" distL="19050" distR="19050">
            <wp:extent cx="348377" cy="234776"/>
            <wp:effectExtent b="0" l="0" r="0" t="0"/>
            <wp:docPr id="10"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348377" cy="234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348377" cy="234776"/>
            <wp:effectExtent b="0" l="0" r="0" t="0"/>
            <wp:docPr id="39"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348377" cy="234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garantiza que, incluso en la cúspide del pánico académico, la recomendación de entrenamiento no se reduzca a un sedentarismo absoluto (cero volumen), sino que experimente un recorte del treinta al cincuenta por ciento. Esta franja protege la salud mental, fomenta la oxigenación cerebral mediante un flujo sanguíneo moderado y mantiene la adaptación neuromuscular sin agravar la deuda sistémica del gobernador central.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manera recíproca y simétrica, el desgaste estructural derivado de los entrenamientos físicos de alta intensidad compromete la preparación neurológica del usuario para emprender bloques de estudio profundo. Para cuantificar con precisión el estado de fatiga física aguda, el análisis contemporáneo de cargas en la ciencia del alto rendimiento deportivo se apoya de manera unánime en la Ratio de Carga de Trabajo Crónica-Aguda (ACWR, por sus siglas en inglés).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Propulsada a la prominencia por investigadores clínicos como Tim Gabbett, la ACWR encapsula la "Paradoja del Entrenamiento y la Prevención de Lesiones". Esta paradoja demuestra clínicamente que, contrario a la creencia popular, no es la cantidad absoluta de entrenamiento lo que lesiona o agota a los atletas, sino los picos repentinos de intensidad y volumen para los cuales el organismo no está adaptado.</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El ACWR se calcula dividiendo la carga de trabajo aguda experimentada en el ciclo microestructural más reciente (habitualmente siete días) entre la media móvil de la carga de trabajo crónica que el individuo ha sostenido históricamente (habitualmente los últimos veintiocho días).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La carga de las sesiones individuales se cuantifica mediante Unidades Arbitrarias (AU), calculadas como el producto de la duración de la sesión en minutos por la Percepción Subjetiva del Esfuerzo (RPE).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estudios prospectivos establecen que una ratio que fluctúa entre 0.8 y 1.3 representa el rango óptimo u "zona dulce" de adaptación fisiológica.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No obstante, cuando la carga aguda supera drásticamente a la crónica y el ACWR cruza el umbral de 1.5, el individuo entra en una documentada "zona de peligro".</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En este estado de inflamación sistémica y sobrecarga estructural aguda, los riesgos relativos de lesión por sobreuso se multiplican exponencialmente, la coordinación motora decae, y de manera crucial para nuestra aplicación, se precipita un letargo neuronal agudo provocado por la liberación prolongada de citoquinas inflamatorias.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consecuencia, si el sistema rastrea que el usuario ha ingresado en un estado de hiper-fatiga deportiva (ACWR &gt; 1.5), la arquitectura debe asumir que su capacidad de concentración sostenida y cristalización de memoria a corto plazo está temporalmente socavada. El motor de recomendaciones académico debe reaccionar de forma inmediata limitando la ventana máxima de tiempo ininterrumpido que el usuario tiene permitido dedicar a un bloque de estudio, imponiendo ciclos atencionales mucho más cortos y obligando a una fragmentación del tiempo de procesamiento cognitivo para evitar el desgaste frustrante.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Ecuación de Penalización de Duración de Bloque de Estudio (</w:t>
      </w:r>
      <w:r w:rsidDel="00000000" w:rsidR="00000000" w:rsidRPr="00000000">
        <w:rPr>
          <w:rFonts w:ascii="Google Sans" w:cs="Google Sans" w:eastAsia="Google Sans" w:hAnsi="Google Sans"/>
          <w:color w:val="1f1f1f"/>
        </w:rPr>
        <w:drawing>
          <wp:inline distB="19050" distT="19050" distL="19050" distR="19050">
            <wp:extent cx="349091" cy="212490"/>
            <wp:effectExtent b="0" l="0" r="0" t="0"/>
            <wp:docPr id="40"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349091" cy="2124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mediada por la fatiga física se formula mediante la siguiente función de tramos condicionales: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256489"/>
            <wp:effectExtent b="0" l="0" r="0" t="0"/>
            <wp:docPr id="41"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5905500" cy="125648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esta matriz reguladora, </w:t>
      </w:r>
      <w:r w:rsidDel="00000000" w:rsidR="00000000" w:rsidRPr="00000000">
        <w:rPr>
          <w:rFonts w:ascii="Google Sans" w:cs="Google Sans" w:eastAsia="Google Sans" w:hAnsi="Google Sans"/>
          <w:color w:val="1f1f1f"/>
        </w:rPr>
        <w:drawing>
          <wp:inline distB="19050" distT="19050" distL="19050" distR="19050">
            <wp:extent cx="349091" cy="212490"/>
            <wp:effectExtent b="0" l="0" r="0" t="0"/>
            <wp:docPr id="42"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349091" cy="2124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el techo temporal recomendado para un bloque de estudio antes de que la aplicación imponga una restricción suave (un recordatorio de descanso ineludible), medido en minutos. Este límite es una fracción ajustada del </w:t>
      </w:r>
      <w:r w:rsidDel="00000000" w:rsidR="00000000" w:rsidRPr="00000000">
        <w:rPr>
          <w:rFonts w:ascii="Google Sans" w:cs="Google Sans" w:eastAsia="Google Sans" w:hAnsi="Google Sans"/>
          <w:color w:val="1f1f1f"/>
        </w:rPr>
        <w:drawing>
          <wp:inline distB="19050" distT="19050" distL="19050" distR="19050">
            <wp:extent cx="383857" cy="245669"/>
            <wp:effectExtent b="0" l="0" r="0" t="0"/>
            <wp:docPr id="43" name="image87.png"/>
            <a:graphic>
              <a:graphicData uri="http://schemas.openxmlformats.org/drawingml/2006/picture">
                <pic:pic>
                  <pic:nvPicPr>
                    <pic:cNvPr id="0" name="image87.png"/>
                    <pic:cNvPicPr preferRelativeResize="0"/>
                  </pic:nvPicPr>
                  <pic:blipFill>
                    <a:blip r:embed="rId49"/>
                    <a:srcRect b="0" l="0" r="0" t="0"/>
                    <a:stretch>
                      <a:fillRect/>
                    </a:stretch>
                  </pic:blipFill>
                  <pic:spPr>
                    <a:xfrm>
                      <a:off x="0" y="0"/>
                      <a:ext cx="383857" cy="2456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refleja la capacidad endurante habitual de enfoque del usuario cuando se encuentra totalmente recuperado (por ejemplo, noventa minutos ininterrumpidos).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variable central de control es el </w:t>
      </w:r>
      <w:r w:rsidDel="00000000" w:rsidR="00000000" w:rsidRPr="00000000">
        <w:rPr>
          <w:rFonts w:ascii="Google Sans" w:cs="Google Sans" w:eastAsia="Google Sans" w:hAnsi="Google Sans"/>
          <w:color w:val="1f1f1f"/>
        </w:rPr>
        <w:drawing>
          <wp:inline distB="19050" distT="19050" distL="19050" distR="19050">
            <wp:extent cx="663416" cy="244015"/>
            <wp:effectExtent b="0" l="0" r="0" t="0"/>
            <wp:docPr id="44"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663416" cy="2440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calculado preferiblemente mediante el modelo de media móvil ponderada exponencialmente (EWMA) en lugar del modelo de promedios rodantes estándar (Rolling Average), con el fin de evitar enigmas de acoplamiento matemático (mathematical coupling enigma) que sobrestiman el peso de eventos de entrenamiento antiguos.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La constante de amortiguación sistémica cognitiva, </w:t>
      </w:r>
      <w:r w:rsidDel="00000000" w:rsidR="00000000" w:rsidRPr="00000000">
        <w:rPr>
          <w:rFonts w:ascii="Google Sans" w:cs="Google Sans" w:eastAsia="Google Sans" w:hAnsi="Google Sans"/>
          <w:color w:val="1f1f1f"/>
        </w:rPr>
        <w:drawing>
          <wp:inline distB="19050" distT="19050" distL="19050" distR="19050">
            <wp:extent cx="112395" cy="239776"/>
            <wp:effectExtent b="0" l="0" r="0" t="0"/>
            <wp:docPr id="45"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112395" cy="239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controla la pendiente de la penalización logarítmica (típicamente ajustada en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46"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Esta estructura por partes, cuidadosamente calibrada, asegura que mientras el atleta estudie bajo cargas de entrenamiento progresivas y seguras (ACWR bajo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47"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 ritmo académico no sufra interferencia algorítmica. Sin embargo, a medida que el ACWR escala peligrosamente hacia el margen de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48" name="image49.png"/>
            <a:graphic>
              <a:graphicData uri="http://schemas.openxmlformats.org/drawingml/2006/picture">
                <pic:pic>
                  <pic:nvPicPr>
                    <pic:cNvPr id="0" name="image49.png"/>
                    <pic:cNvPicPr preferRelativeResize="0"/>
                  </pic:nvPicPr>
                  <pic:blipFill>
                    <a:blip r:embed="rId26"/>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duración permitida de los bloques de estudio comienza a decaer de forma suave pero implacable. En casos de sobreentrenamiento punitivo y negligencia severa de la recuperación (ACWR por encima de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38" name="image48.png"/>
            <a:graphic>
              <a:graphicData uri="http://schemas.openxmlformats.org/drawingml/2006/picture">
                <pic:pic>
                  <pic:nvPicPr>
                    <pic:cNvPr id="0" name="image48.png"/>
                    <pic:cNvPicPr preferRelativeResize="0"/>
                  </pic:nvPicPr>
                  <pic:blipFill>
                    <a:blip r:embed="rId54"/>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sistema bloquea preventivamente los maratones de estudio, imponiendo un tope restrictivo del cincuenta por ciento sobre la duración base para obligar al usuario a asimilar la información en porciones que su sistema nervioso temporalmente mermado pueda procesar sin colapso.</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garantizar la inmediatez y disponibilidad de estos parámetros interconectados sin sobrecargar la infraestructura de la base de datos con cálculos iterativos sobre el histórico completo de eventos, se deben diseñar tablas analíticas persistentes que almacenen las medias de carga.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Nombre de Columna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Dato (PostgreSQL)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Restricciones Estructurales y Justificación Técnica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Tabla:</w:t>
            </w:r>
            <w:r w:rsidDel="00000000" w:rsidR="00000000" w:rsidRPr="00000000">
              <w:rPr>
                <w:rFonts w:ascii="Google Sans" w:cs="Google Sans" w:eastAsia="Google Sans" w:hAnsi="Google Sans"/>
                <w:color w:val="1f1f1f"/>
                <w:shd w:fill="auto" w:val="clear"/>
                <w:rtl w:val="0"/>
              </w:rPr>
              <w:t xml:space="preserve"> physical_workload_logs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Registro histórico crudo empleado para calcular las medias de carga agudas y crónicas.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workload_id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 DEFAULT gen_random_uuid(). Identificador único de la sesión de esfuerzo.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KEY REFERENCES users(user_id) ON DELETE CASCADE.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date_recorded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 DEFAULT CURRENT_DATE. Granularidad diaria necesaria para la ventana de 28 días.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session_rpe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 NULL, CHECK (session_rpe BETWEEN 1 AND 10). Escala de percepción de esfuerzo de Borg modificada.</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duration_minutes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 CHECK (duration_minutes &gt; 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daily_load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NUMERIC(7,2)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GENERATED ALWAYS AS (session_rpe * duration_minutes) STORED. Cuantificación en Unidades Arbitrarias (AU) delegada al motor SQL.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Tabla:</w:t>
            </w:r>
            <w:r w:rsidDel="00000000" w:rsidR="00000000" w:rsidRPr="00000000">
              <w:rPr>
                <w:rFonts w:ascii="Google Sans" w:cs="Google Sans" w:eastAsia="Google Sans" w:hAnsi="Google Sans"/>
                <w:color w:val="1f1f1f"/>
                <w:shd w:fill="auto" w:val="clear"/>
                <w:rtl w:val="0"/>
              </w:rPr>
              <w:t xml:space="preserve"> cross_regulation_state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Vista materializada o tabla de estado actualizada mediante jobs nocturnos o disparadores (triggers).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 FOREIGN KEY REFERENCES users(user_id). Vinculación uno a uno.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acute_load_7d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NUMERIC(8,2)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Cálculo agregado o ponderado (EWMA) de las cargas registradas en los últimos siete días.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chronic_load_28d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NUMERIC(8,2)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Media aritmética diaria equivalente sobre los veintiocho días históricos recientes.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current_acwr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NUMERIC(4,2)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GENERATED ALWAYS AS (acute_load_7d / NULLIF(chronic_load_28d, 0)) STORED. Evita errores de división por cero en perfiles recién creados.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recommended_study_max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Tope </w:t>
            </w:r>
            <w:r w:rsidDel="00000000" w:rsidR="00000000" w:rsidRPr="00000000">
              <w:rPr>
                <w:rFonts w:ascii="Google Sans" w:cs="Google Sans" w:eastAsia="Google Sans" w:hAnsi="Google Sans"/>
                <w:color w:val="1f1f1f"/>
                <w:shd w:fill="auto" w:val="clear"/>
              </w:rPr>
              <w:drawing>
                <wp:inline distB="19050" distT="19050" distL="19050" distR="19050">
                  <wp:extent cx="349091" cy="212490"/>
                  <wp:effectExtent b="0" l="0" r="0" t="0"/>
                  <wp:docPr id="29"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349091" cy="21249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precalculado en minutos por el backend y consumible de inmediato por la UI móvil.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days_to_next_exam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Sincronizado dinámicamente con el calendario académico local del usuario.</w:t>
            </w:r>
          </w:p>
        </w:tc>
      </w:tr>
    </w:tbl>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Algoritmo de Repetición Espaciada (SRS) Vinculado a la Carga del Perfil</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uso de sistemas de repetición espaciada (SRS) guiados por implementaciones matemáticas iterativas como el algoritmo SuperMemo-2 (SM-2) ha revolucionado históricamente el campo de la memorización activa y la retención a largo plazo. En su formulación original, el SM-2 calcula el intervalo del próximo repaso de manera aséptica y aislada, basándose de manera determinista en un Factor de Facilidad subyacente (</w:t>
      </w:r>
      <w:r w:rsidDel="00000000" w:rsidR="00000000" w:rsidRPr="00000000">
        <w:rPr>
          <w:rFonts w:ascii="Google Sans" w:cs="Google Sans" w:eastAsia="Google Sans" w:hAnsi="Google Sans"/>
          <w:color w:val="1f1f1f"/>
        </w:rPr>
        <w:drawing>
          <wp:inline distB="19050" distT="19050" distL="19050" distR="19050">
            <wp:extent cx="297775" cy="250758"/>
            <wp:effectExtent b="0" l="0" r="0" t="0"/>
            <wp:docPr id="30"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297775" cy="250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en la métrica cualitativa de recuperación (</w:t>
      </w:r>
      <w:r w:rsidDel="00000000" w:rsidR="00000000" w:rsidRPr="00000000">
        <w:rPr>
          <w:rFonts w:ascii="Google Sans" w:cs="Google Sans" w:eastAsia="Google Sans" w:hAnsi="Google Sans"/>
          <w:color w:val="1f1f1f"/>
        </w:rPr>
        <w:drawing>
          <wp:inline distB="19050" distT="19050" distL="19050" distR="19050">
            <wp:extent cx="94417" cy="251778"/>
            <wp:effectExtent b="0" l="0" r="0" t="0"/>
            <wp:docPr id="31"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94417" cy="251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el estudiante proporciona voluntariamente tras evaluar su propia exactitud al desvelar la respuesta de la tarjeta, en una escala de cero a cinco.</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 bien este modelo goza de prestigio estadístico para el aprendizaje de idiomas o conceptos médicos, su aplicación en un ecosistema de salud global adolece de un fallo fundacional insoslayable: asume implícitamente que la retención de la memoria ocurre en un cerebro aislado en un vacío inmutable.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Desde las profundidades de la fisiología del esfuerzo extremo, y específicamente bajo el prisma de la Hipótesis de la Fatiga Central propuesta inicialmente por Acworth y desarrollada monumentalmente por investigadores de la talla de Newsholme y Romain Meeusen, sabemos empíricamente que el ejercicio físico intenso altera y perturba el ecosistema bioquímico del cerebro y el equilibrio de sus neurotransmisores más críticos.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mecanismo de la fatiga central dicta que, durante la actividad aeróbica o muscular extenuante, los requerimientos energéticos musculares provocan una masiva captación periférica de aminoácidos de cadena ramificada (BCAA) circulantes, acompañados por una elevación en los ácidos grasos plasmáticos libres. Este desplazamiento metabólico eleva drásticamente la proporción relativa de triptófano no unido en el torrente sanguíneo. El triptófano es el precursor directo biológico y cuenta con vía libre para cruzar la barrera hematoencefálica (BBB). Una vez en el interior de la cúpula central, se sintetiza a un ritmo acelerado transformándose en serotonina cerebral (5-HT), un poderoso neurotransmisor intrínsecamente implicado en la inducción de la somnolencia, la alteración del ciclo de sueño-vigilia, la inhibición emocional y la generación de un profundo letargo neurológico.</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aumento descontrolado de la proporción de serotonina en relación con los niveles de dopamina y noradrenalina post-ejercicio conduce a una pronunciada pérdida temporal del impulso motivacional y una perturbación constatable en los procesos de alerta, consolidación mnemotécnica a corto plazo y recuperación ágil de la memoria semántica.</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Por ende, si un usuario emprende una sesión rigurosa de revisión de tarjetas didácticas durante las horas posteriores a una maratón competitiva o una sesión agónica de hipertrofia muscular, la caída en su velocidad de procesamiento cognitivo y los fallos de evocación experimentados en las </w:t>
      </w:r>
      <w:r w:rsidDel="00000000" w:rsidR="00000000" w:rsidRPr="00000000">
        <w:rPr>
          <w:rFonts w:ascii="Google Sans" w:cs="Google Sans" w:eastAsia="Google Sans" w:hAnsi="Google Sans"/>
          <w:i w:val="1"/>
          <w:iCs w:val="1"/>
          <w:color w:val="1f1f1f"/>
          <w:rtl w:val="0"/>
        </w:rPr>
        <w:t xml:space="preserve">flashcards</w:t>
      </w:r>
      <w:r w:rsidDel="00000000" w:rsidR="00000000" w:rsidRPr="00000000">
        <w:rPr>
          <w:rFonts w:ascii="Google Sans" w:cs="Google Sans" w:eastAsia="Google Sans" w:hAnsi="Google Sans"/>
          <w:color w:val="1f1f1f"/>
          <w:rtl w:val="0"/>
        </w:rPr>
        <w:t xml:space="preserve"> no representan verdaderas fisuras en la red de retención a largo plazo. Son, en realidad, síntomas biológicos transitorios impuestos por la inundación de serotonina y la inflamación de bajo grado del sistema nervioso central derivadas de la hipótesis central.</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 el determinista algoritmo SM-2 ignora el contexto de la carga deportiva del perfil y evalúa un error en ese instante de alta fatiga física como un genuino fallo de memoria, el sistema procederá a castigar drásticamente el Factor de Facilidad de la tarjeta afectada. Como consecuencia, reiniciará inútilmente el progreso de ese concepto específico a su intervalo de tiempo base, saturando las sesiones futuras del usuario de repasos prematuros. Esto precipitaría el colapso organizativo temido en la comunidad académica, conocido como el incremento desmesurado de la "pila de deuda" de tarjetas retrasadas (backlog).</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Semejante escenario promueve la fatiga de decisión (decision fatigue) y compromete la adherencia del usuario al sistema a largo plazo.</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subsanar esta severa vulnerabilidad neurobiológica, se propone la integración computacional de una capa correctiva dentro de la lógica del algoritmo: el SM-2-Physio. Este modelo optimizado introduce un coeficiente modificador dinámico basado en las ventanas de energía circulante, mitigando la caída de la retención mediante la absorción de los errores derivados exclusivamente del agotamiento serotoninérgico.</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Ecuación de Facilidad Modificada (</w:t>
      </w:r>
      <w:r w:rsidDel="00000000" w:rsidR="00000000" w:rsidRPr="00000000">
        <w:rPr>
          <w:rFonts w:ascii="Google Sans" w:cs="Google Sans" w:eastAsia="Google Sans" w:hAnsi="Google Sans"/>
          <w:color w:val="1f1f1f"/>
        </w:rPr>
        <w:drawing>
          <wp:inline distB="19050" distT="19050" distL="19050" distR="19050">
            <wp:extent cx="549950" cy="244422"/>
            <wp:effectExtent b="0" l="0" r="0" t="0"/>
            <wp:docPr id="32"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549950" cy="2444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el sistema corregido se proyecta matemáticamente de la siguiente manera:</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41471"/>
            <wp:effectExtent b="0" l="0" r="0" t="0"/>
            <wp:docPr id="33" name="image19.png"/>
            <a:graphic>
              <a:graphicData uri="http://schemas.openxmlformats.org/drawingml/2006/picture">
                <pic:pic>
                  <pic:nvPicPr>
                    <pic:cNvPr id="0" name="image19.png"/>
                    <pic:cNvPicPr preferRelativeResize="0"/>
                  </pic:nvPicPr>
                  <pic:blipFill>
                    <a:blip r:embed="rId58"/>
                    <a:srcRect b="0" l="0" r="0" t="0"/>
                    <a:stretch>
                      <a:fillRect/>
                    </a:stretch>
                  </pic:blipFill>
                  <pic:spPr>
                    <a:xfrm>
                      <a:off x="0" y="0"/>
                      <a:ext cx="5905500" cy="641471"/>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corazón de esta optimización es la calificación de calidad ajustada (</w:t>
      </w:r>
      <w:r w:rsidDel="00000000" w:rsidR="00000000" w:rsidRPr="00000000">
        <w:rPr>
          <w:rFonts w:ascii="Google Sans" w:cs="Google Sans" w:eastAsia="Google Sans" w:hAnsi="Google Sans"/>
          <w:color w:val="1f1f1f"/>
        </w:rPr>
        <w:drawing>
          <wp:inline distB="19050" distT="19050" distL="19050" distR="19050">
            <wp:extent cx="305395" cy="244316"/>
            <wp:effectExtent b="0" l="0" r="0" t="0"/>
            <wp:docPr id="34"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305395" cy="2443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una función que en lugar de usar la respuesta cualitativa cruda dictada por el usuario (</w:t>
      </w:r>
      <w:r w:rsidDel="00000000" w:rsidR="00000000" w:rsidRPr="00000000">
        <w:rPr>
          <w:rFonts w:ascii="Google Sans" w:cs="Google Sans" w:eastAsia="Google Sans" w:hAnsi="Google Sans"/>
          <w:color w:val="1f1f1f"/>
        </w:rPr>
        <w:drawing>
          <wp:inline distB="19050" distT="19050" distL="19050" distR="19050">
            <wp:extent cx="339090" cy="241131"/>
            <wp:effectExtent b="0" l="0" r="0" t="0"/>
            <wp:docPr id="35"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339090" cy="2411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reinterpreta el fallo humano perdonando de forma programática y fraccional la torpeza mnemotécnica si ésta coincide con ventanas de estrés físico extremo:</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92769"/>
            <wp:effectExtent b="0" l="0" r="0" t="0"/>
            <wp:docPr id="36" name="image21.png"/>
            <a:graphic>
              <a:graphicData uri="http://schemas.openxmlformats.org/drawingml/2006/picture">
                <pic:pic>
                  <pic:nvPicPr>
                    <pic:cNvPr id="0" name="image21.png"/>
                    <pic:cNvPicPr preferRelativeResize="0"/>
                  </pic:nvPicPr>
                  <pic:blipFill>
                    <a:blip r:embed="rId61"/>
                    <a:srcRect b="0" l="0" r="0" t="0"/>
                    <a:stretch>
                      <a:fillRect/>
                    </a:stretch>
                  </pic:blipFill>
                  <pic:spPr>
                    <a:xfrm>
                      <a:off x="0" y="0"/>
                      <a:ext cx="5905500" cy="892769"/>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esta arquitectura matemática reformulada, </w:t>
      </w:r>
      <w:r w:rsidDel="00000000" w:rsidR="00000000" w:rsidRPr="00000000">
        <w:rPr>
          <w:rFonts w:ascii="Google Sans" w:cs="Google Sans" w:eastAsia="Google Sans" w:hAnsi="Google Sans"/>
          <w:color w:val="1f1f1f"/>
        </w:rPr>
        <w:drawing>
          <wp:inline distB="19050" distT="19050" distL="19050" distR="19050">
            <wp:extent cx="557927" cy="244571"/>
            <wp:effectExtent b="0" l="0" r="0" t="0"/>
            <wp:docPr id="37" name="image18.png"/>
            <a:graphic>
              <a:graphicData uri="http://schemas.openxmlformats.org/drawingml/2006/picture">
                <pic:pic>
                  <pic:nvPicPr>
                    <pic:cNvPr id="0" name="image18.png"/>
                    <pic:cNvPicPr preferRelativeResize="0"/>
                  </pic:nvPicPr>
                  <pic:blipFill>
                    <a:blip r:embed="rId62"/>
                    <a:srcRect b="0" l="0" r="0" t="0"/>
                    <a:stretch>
                      <a:fillRect/>
                    </a:stretch>
                  </pic:blipFill>
                  <pic:spPr>
                    <a:xfrm>
                      <a:off x="0" y="0"/>
                      <a:ext cx="557927" cy="2445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el factor de facilidad histórico consolidado en revisiones previas. El suelo absoluto algorítmico permitido sigue anclado en un factor de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27" name="image13.png"/>
            <a:graphic>
              <a:graphicData uri="http://schemas.openxmlformats.org/drawingml/2006/picture">
                <pic:pic>
                  <pic:nvPicPr>
                    <pic:cNvPr id="0" name="image13.png"/>
                    <pic:cNvPicPr preferRelativeResize="0"/>
                  </pic:nvPicPr>
                  <pic:blipFill>
                    <a:blip r:embed="rId63"/>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impidiendo de forma garantizada que los intervalos de repaso decaigan en un espiral de repetición incesante e improductiva.</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La variable </w:t>
      </w:r>
      <w:r w:rsidDel="00000000" w:rsidR="00000000" w:rsidRPr="00000000">
        <w:rPr>
          <w:rFonts w:ascii="Google Sans" w:cs="Google Sans" w:eastAsia="Google Sans" w:hAnsi="Google Sans"/>
          <w:color w:val="1f1f1f"/>
        </w:rPr>
        <w:drawing>
          <wp:inline distB="19050" distT="19050" distL="19050" distR="19050">
            <wp:extent cx="339090" cy="241131"/>
            <wp:effectExtent b="0" l="0" r="0" t="0"/>
            <wp:docPr id="28"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339090" cy="2411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plasma la puntuación genuina insertada por el individuo en la interfaz móvil en el instante posterior a ver la respuesta, donde un valor de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63" name="image66.png"/>
            <a:graphic>
              <a:graphicData uri="http://schemas.openxmlformats.org/drawingml/2006/picture">
                <pic:pic>
                  <pic:nvPicPr>
                    <pic:cNvPr id="0" name="image66.png"/>
                    <pic:cNvPicPr preferRelativeResize="0"/>
                  </pic:nvPicPr>
                  <pic:blipFill>
                    <a:blip r:embed="rId64"/>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equivale a un apagón mental total (blackout), un valor de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64" name="image74.png"/>
            <a:graphic>
              <a:graphicData uri="http://schemas.openxmlformats.org/drawingml/2006/picture">
                <pic:pic>
                  <pic:nvPicPr>
                    <pic:cNvPr id="0" name="image74.png"/>
                    <pic:cNvPicPr preferRelativeResize="0"/>
                  </pic:nvPicPr>
                  <pic:blipFill>
                    <a:blip r:embed="rId65"/>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señala éxito tras gran vacilación o vacíos, y un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65" name="image65.png"/>
            <a:graphic>
              <a:graphicData uri="http://schemas.openxmlformats.org/drawingml/2006/picture">
                <pic:pic>
                  <pic:nvPicPr>
                    <pic:cNvPr id="0" name="image65.png"/>
                    <pic:cNvPicPr preferRelativeResize="0"/>
                  </pic:nvPicPr>
                  <pic:blipFill>
                    <a:blip r:embed="rId66"/>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consagra un recuerdo fotográfico prístino e inmediato.</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multiplicador compensatorio reside en la constante de indulgencia neuronal, </w:t>
      </w:r>
      <w:r w:rsidDel="00000000" w:rsidR="00000000" w:rsidRPr="00000000">
        <w:rPr>
          <w:rFonts w:ascii="Google Sans" w:cs="Google Sans" w:eastAsia="Google Sans" w:hAnsi="Google Sans"/>
          <w:color w:val="1f1f1f"/>
        </w:rPr>
        <w:drawing>
          <wp:inline distB="19050" distT="19050" distL="19050" distR="19050">
            <wp:extent cx="141565" cy="243807"/>
            <wp:effectExtent b="0" l="0" r="0" t="0"/>
            <wp:docPr id="66" name="image81.png"/>
            <a:graphic>
              <a:graphicData uri="http://schemas.openxmlformats.org/drawingml/2006/picture">
                <pic:pic>
                  <pic:nvPicPr>
                    <pic:cNvPr id="0" name="image81.png"/>
                    <pic:cNvPicPr preferRelativeResize="0"/>
                  </pic:nvPicPr>
                  <pic:blipFill>
                    <a:blip r:embed="rId67"/>
                    <a:srcRect b="0" l="0" r="0" t="0"/>
                    <a:stretch>
                      <a:fillRect/>
                    </a:stretch>
                  </pic:blipFill>
                  <pic:spPr>
                    <a:xfrm>
                      <a:off x="0" y="0"/>
                      <a:ext cx="141565" cy="2438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cuya magnitud (habitualmente calibrada en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67" name="image53.png"/>
            <a:graphic>
              <a:graphicData uri="http://schemas.openxmlformats.org/drawingml/2006/picture">
                <pic:pic>
                  <pic:nvPicPr>
                    <pic:cNvPr id="0" name="image53.png"/>
                    <pic:cNvPicPr preferRelativeResize="0"/>
                  </pic:nvPicPr>
                  <pic:blipFill>
                    <a:blip r:embed="rId68"/>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superior según la agresividad deseada en la amortiguación del error) amplifica el peso del perdón fisiológico. Esta indulgencia interactúa directamente con una ratio fisiológica extraída del segundo módulo: la Carga Física Aguda acumulada en el transcurso estricto del día presente (</w:t>
      </w:r>
      <w:r w:rsidDel="00000000" w:rsidR="00000000" w:rsidRPr="00000000">
        <w:rPr>
          <w:rFonts w:ascii="Google Sans" w:cs="Google Sans" w:eastAsia="Google Sans" w:hAnsi="Google Sans"/>
          <w:color w:val="1f1f1f"/>
        </w:rPr>
        <w:drawing>
          <wp:inline distB="19050" distT="19050" distL="19050" distR="19050">
            <wp:extent cx="800338" cy="243913"/>
            <wp:effectExtent b="0" l="0" r="0" t="0"/>
            <wp:docPr id="68" name="image42.png"/>
            <a:graphic>
              <a:graphicData uri="http://schemas.openxmlformats.org/drawingml/2006/picture">
                <pic:pic>
                  <pic:nvPicPr>
                    <pic:cNvPr id="0" name="image42.png"/>
                    <pic:cNvPicPr preferRelativeResize="0"/>
                  </pic:nvPicPr>
                  <pic:blipFill>
                    <a:blip r:embed="rId69"/>
                    <a:srcRect b="0" l="0" r="0" t="0"/>
                    <a:stretch>
                      <a:fillRect/>
                    </a:stretch>
                  </pic:blipFill>
                  <pic:spPr>
                    <a:xfrm>
                      <a:off x="0" y="0"/>
                      <a:ext cx="800338" cy="243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confrontada proporcionalmente contra la Carga Física Máxima diaria que el historial biomecánico del perfil ha tolerado jamás (</w:t>
      </w:r>
      <w:r w:rsidDel="00000000" w:rsidR="00000000" w:rsidRPr="00000000">
        <w:rPr>
          <w:rFonts w:ascii="Google Sans" w:cs="Google Sans" w:eastAsia="Google Sans" w:hAnsi="Google Sans"/>
          <w:color w:val="1f1f1f"/>
        </w:rPr>
        <w:drawing>
          <wp:inline distB="19050" distT="19050" distL="19050" distR="19050">
            <wp:extent cx="1045369" cy="244174"/>
            <wp:effectExtent b="0" l="0" r="0" t="0"/>
            <wp:docPr id="69" name="image45.png"/>
            <a:graphic>
              <a:graphicData uri="http://schemas.openxmlformats.org/drawingml/2006/picture">
                <pic:pic>
                  <pic:nvPicPr>
                    <pic:cNvPr id="0" name="image45.png"/>
                    <pic:cNvPicPr preferRelativeResize="0"/>
                  </pic:nvPicPr>
                  <pic:blipFill>
                    <a:blip r:embed="rId70"/>
                    <a:srcRect b="0" l="0" r="0" t="0"/>
                    <a:stretch>
                      <a:fillRect/>
                    </a:stretch>
                  </pic:blipFill>
                  <pic:spPr>
                    <a:xfrm>
                      <a:off x="0" y="0"/>
                      <a:ext cx="1045369" cy="2441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elegancia lógica de </w:t>
      </w:r>
      <w:r w:rsidDel="00000000" w:rsidR="00000000" w:rsidRPr="00000000">
        <w:rPr>
          <w:rFonts w:ascii="Google Sans" w:cs="Google Sans" w:eastAsia="Google Sans" w:hAnsi="Google Sans"/>
          <w:color w:val="1f1f1f"/>
        </w:rPr>
        <w:drawing>
          <wp:inline distB="19050" distT="19050" distL="19050" distR="19050">
            <wp:extent cx="305395" cy="244316"/>
            <wp:effectExtent b="0" l="0" r="0" t="0"/>
            <wp:docPr id="70"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305395" cy="2443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evidente. Si un estudiante sufre un lapsus preocupante de recuperación de información (</w:t>
      </w:r>
      <w:r w:rsidDel="00000000" w:rsidR="00000000" w:rsidRPr="00000000">
        <w:rPr>
          <w:rFonts w:ascii="Google Sans" w:cs="Google Sans" w:eastAsia="Google Sans" w:hAnsi="Google Sans"/>
          <w:color w:val="1f1f1f"/>
        </w:rPr>
        <w:drawing>
          <wp:inline distB="19050" distT="19050" distL="19050" distR="19050">
            <wp:extent cx="698421" cy="245598"/>
            <wp:effectExtent b="0" l="0" r="0" t="0"/>
            <wp:docPr id="60" name="image41.png"/>
            <a:graphic>
              <a:graphicData uri="http://schemas.openxmlformats.org/drawingml/2006/picture">
                <pic:pic>
                  <pic:nvPicPr>
                    <pic:cNvPr id="0" name="image41.png"/>
                    <pic:cNvPicPr preferRelativeResize="0"/>
                  </pic:nvPicPr>
                  <pic:blipFill>
                    <a:blip r:embed="rId71"/>
                    <a:srcRect b="0" l="0" r="0" t="0"/>
                    <a:stretch>
                      <a:fillRect/>
                    </a:stretch>
                  </pic:blipFill>
                  <pic:spPr>
                    <a:xfrm>
                      <a:off x="0" y="0"/>
                      <a:ext cx="698421" cy="2455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el núcleo de una sesión de estudio posentrenamiento, pero la telemetría revela que acaba de culminar la sesión física más extenuante de todo su mesociclo (</w:t>
      </w:r>
      <w:r w:rsidDel="00000000" w:rsidR="00000000" w:rsidRPr="00000000">
        <w:rPr>
          <w:rFonts w:ascii="Google Sans" w:cs="Google Sans" w:eastAsia="Google Sans" w:hAnsi="Google Sans"/>
          <w:color w:val="1f1f1f"/>
        </w:rPr>
        <w:drawing>
          <wp:inline distB="19050" distT="19050" distL="19050" distR="19050">
            <wp:extent cx="2107054" cy="244296"/>
            <wp:effectExtent b="0" l="0" r="0" t="0"/>
            <wp:docPr id="61" name="image43.png"/>
            <a:graphic>
              <a:graphicData uri="http://schemas.openxmlformats.org/drawingml/2006/picture">
                <pic:pic>
                  <pic:nvPicPr>
                    <pic:cNvPr id="0" name="image43.png"/>
                    <pic:cNvPicPr preferRelativeResize="0"/>
                  </pic:nvPicPr>
                  <pic:blipFill>
                    <a:blip r:embed="rId72"/>
                    <a:srcRect b="0" l="0" r="0" t="0"/>
                    <a:stretch>
                      <a:fillRect/>
                    </a:stretch>
                  </pic:blipFill>
                  <pic:spPr>
                    <a:xfrm>
                      <a:off x="0" y="0"/>
                      <a:ext cx="2107054" cy="2442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ratio arrojará un valor cercano a la unidad. El modelo predictivo asumirá que la abrumadora presencia de serotonina libre y la fatiga del gobernador central son los co-responsables fisiológicos de la falta de fluidez en la sinapsis.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El algoritmo mitigará el daño incrementando virtualmente la calificación de asimilación del usuario a </w:t>
      </w:r>
      <w:r w:rsidDel="00000000" w:rsidR="00000000" w:rsidRPr="00000000">
        <w:rPr>
          <w:rFonts w:ascii="Google Sans" w:cs="Google Sans" w:eastAsia="Google Sans" w:hAnsi="Google Sans"/>
          <w:color w:val="1f1f1f"/>
        </w:rPr>
        <w:drawing>
          <wp:inline distB="19050" distT="19050" distL="19050" distR="19050">
            <wp:extent cx="664726" cy="244497"/>
            <wp:effectExtent b="0" l="0" r="0" t="0"/>
            <wp:docPr id="62" name="image75.png"/>
            <a:graphic>
              <a:graphicData uri="http://schemas.openxmlformats.org/drawingml/2006/picture">
                <pic:pic>
                  <pic:nvPicPr>
                    <pic:cNvPr id="0" name="image75.png"/>
                    <pic:cNvPicPr preferRelativeResize="0"/>
                  </pic:nvPicPr>
                  <pic:blipFill>
                    <a:blip r:embed="rId73"/>
                    <a:srcRect b="0" l="0" r="0" t="0"/>
                    <a:stretch>
                      <a:fillRect/>
                    </a:stretch>
                  </pic:blipFill>
                  <pic:spPr>
                    <a:xfrm>
                      <a:off x="0" y="0"/>
                      <a:ext cx="664726" cy="2444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 este recálculo biomatemático en la sombra, se evita que la tarjeta de conocimiento regrese brutalmente al punto de partida, permitiendo que su intervalo se congele o ascienda moderadamente, blindando la integridad motivacional del estudiante.</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infraestructura de datos en PostgreSQL para sostener este algoritmo de memoria consciente del entorno físico exige tablas de consulta rápida y registros profundos para auditorías analíticas.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Nombre de Columna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Dato (PostgreSQL)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Restricciones Estructurales y Justificación Técnica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Tabla:</w:t>
            </w:r>
            <w:r w:rsidDel="00000000" w:rsidR="00000000" w:rsidRPr="00000000">
              <w:rPr>
                <w:rFonts w:ascii="Google Sans" w:cs="Google Sans" w:eastAsia="Google Sans" w:hAnsi="Google Sans"/>
                <w:color w:val="1f1f1f"/>
                <w:shd w:fill="auto" w:val="clear"/>
                <w:rtl w:val="0"/>
              </w:rPr>
              <w:t xml:space="preserve"> srs_flashcards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Contiene la colección de tarjetas individuales de conocimiento asimilado.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card_id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 Llave de aislamiento del objeto de aprendizaje.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KEY REFERENCES users(user_id). Vinculación al perfil biológico.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easiness_factor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NUMERIC(5,3)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 NULL DEFAULT 2.500, CHECK (easiness_factor &gt;= 1.300). Salvaguarda el mínimo operativo indispensable del modelo original.</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current_interval_days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 DEFAULT 0. Cuantifica los días de salto otorgados tras el último repaso.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next_review_date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 WITH TIME ZONE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Imprescindible establecer un Índice B-Tree (CREATE INDEX ON srs_flashcards(next_review_date)) para que las consultas de "tarjetas vencidas hoy" sean hiperrápidas.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Tabla:</w:t>
            </w:r>
            <w:r w:rsidDel="00000000" w:rsidR="00000000" w:rsidRPr="00000000">
              <w:rPr>
                <w:rFonts w:ascii="Google Sans" w:cs="Google Sans" w:eastAsia="Google Sans" w:hAnsi="Google Sans"/>
                <w:color w:val="1f1f1f"/>
                <w:shd w:fill="auto" w:val="clear"/>
                <w:rtl w:val="0"/>
              </w:rPr>
              <w:t xml:space="preserve"> srs_review_logs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Historial de auditoría inmutable que soporta el machine learning y la analítica del motor.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review_id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card_id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KEY REFERENCES srs_flashcards(card_id) ON DELETE CASCADE.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review_timestamp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 WITH TIME ZONE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 DEFAULT NOW(). Fija el cronograma exacto del evento mnemotécnico.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q_real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CHECK (q_real BETWEEN 0 AND 5). La elección orgánica bruta del humano.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q_adjusted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valor decimal virtual inyectado mediante interpolación por la fatiga física. Permite evaluar retrospectivamente cuánto ha "salvado" el sistema al usuario de repasos innecesarios.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physical_fatigue_coef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NUMERIC(4,3)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valor instantáneo de la ratio </w:t>
            </w:r>
            <w:r w:rsidDel="00000000" w:rsidR="00000000" w:rsidRPr="00000000">
              <w:rPr>
                <w:rFonts w:ascii="Google Sans" w:cs="Google Sans" w:eastAsia="Google Sans" w:hAnsi="Google Sans"/>
                <w:color w:val="1f1f1f"/>
                <w:shd w:fill="auto" w:val="clear"/>
              </w:rPr>
              <w:drawing>
                <wp:inline distB="19050" distT="19050" distL="19050" distR="19050">
                  <wp:extent cx="701278" cy="282036"/>
                  <wp:effectExtent b="0" l="0" r="0" t="0"/>
                  <wp:docPr id="53" name="image52.png"/>
                  <a:graphic>
                    <a:graphicData uri="http://schemas.openxmlformats.org/drawingml/2006/picture">
                      <pic:pic>
                        <pic:nvPicPr>
                          <pic:cNvPr id="0" name="image52.png"/>
                          <pic:cNvPicPr preferRelativeResize="0"/>
                        </pic:nvPicPr>
                        <pic:blipFill>
                          <a:blip r:embed="rId74"/>
                          <a:srcRect b="0" l="0" r="0" t="0"/>
                          <a:stretch>
                            <a:fillRect/>
                          </a:stretch>
                        </pic:blipFill>
                        <pic:spPr>
                          <a:xfrm>
                            <a:off x="0" y="0"/>
                            <a:ext cx="701278" cy="28203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que provocó el perdón en el </w:t>
            </w:r>
            <w:r w:rsidDel="00000000" w:rsidR="00000000" w:rsidRPr="00000000">
              <w:rPr>
                <w:rFonts w:ascii="Google Sans" w:cs="Google Sans" w:eastAsia="Google Sans" w:hAnsi="Google Sans"/>
                <w:color w:val="1f1f1f"/>
                <w:shd w:fill="auto" w:val="clear"/>
              </w:rPr>
              <w:drawing>
                <wp:inline distB="19050" distT="19050" distL="19050" distR="19050">
                  <wp:extent cx="558760" cy="214319"/>
                  <wp:effectExtent b="0" l="0" r="0" t="0"/>
                  <wp:docPr id="54" name="image33.png"/>
                  <a:graphic>
                    <a:graphicData uri="http://schemas.openxmlformats.org/drawingml/2006/picture">
                      <pic:pic>
                        <pic:nvPicPr>
                          <pic:cNvPr id="0" name="image33.png"/>
                          <pic:cNvPicPr preferRelativeResize="0"/>
                        </pic:nvPicPr>
                        <pic:blipFill>
                          <a:blip r:embed="rId75"/>
                          <a:srcRect b="0" l="0" r="0" t="0"/>
                          <a:stretch>
                            <a:fillRect/>
                          </a:stretch>
                        </pic:blipFill>
                        <pic:spPr>
                          <a:xfrm>
                            <a:off x="0" y="0"/>
                            <a:ext cx="558760" cy="21431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Gamificación Unificada y Sincronización de Acciones (SyncHub)</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estrato superior de cualquier aplicación orientada al consumo prolongado y a la generación y fijación de hábitos positivos en educación (EdTech) y salud, el sistema de economía de recompensas basado en puntos de experiencia (XP) actúa como el tejido conector y la espina dorsal motivacional.</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Los ecosistemas tradicionales abordan la ganancia de experiencia y la progresión de niveles desde una perspectiva axiomática lineal: una hora de lectura confiere cien puntos; la hora milésima de lectura confiere exactamente los mismos cien puntos.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Sin embargo, si importamos esta lógica lineal asilada a una plataforma híbrida que fusiona la excelencia cognitiva con el desempeño atlético, la arquitectura sucumbe a su propio diseño.</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Bajo una curva lineal, un usuario con un perfil unidimensional —por ejemplo, un atleta dedicado que desdeña los deberes universitarios, o viceversa, un estudiante brillante que se encierra en su habitación propiciando el desgaste de sus tejidos musculoesqueléticos— podría abusar del sistema (práctica conocida en el diseño de juegos como </w:t>
      </w:r>
      <w:r w:rsidDel="00000000" w:rsidR="00000000" w:rsidRPr="00000000">
        <w:rPr>
          <w:rFonts w:ascii="Google Sans" w:cs="Google Sans" w:eastAsia="Google Sans" w:hAnsi="Google Sans"/>
          <w:i w:val="1"/>
          <w:iCs w:val="1"/>
          <w:color w:val="1f1f1f"/>
          <w:rtl w:val="0"/>
        </w:rPr>
        <w:t xml:space="preserve">grinding</w:t>
      </w:r>
      <w:r w:rsidDel="00000000" w:rsidR="00000000" w:rsidRPr="00000000">
        <w:rPr>
          <w:rFonts w:ascii="Google Sans" w:cs="Google Sans" w:eastAsia="Google Sans" w:hAnsi="Google Sans"/>
          <w:color w:val="1f1f1f"/>
          <w:rtl w:val="0"/>
        </w:rPr>
        <w:t xml:space="preserve">) dedicando la totalidad de su tiempo a una sola de las dos esferas biológicas. Escalaría en los rankings globales de progreso con una facilidad espuria, traicionando la premisa dogmática fundacional de la aplicación: la búsqueda implacable de un "rendimiento holístico" interdependiente.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anular este fenómeno de polarización de actividades, la literatura y el diseño de sistemas de progresión de juegos masivos sugieren de manera robusta la implementación de mecánicas de rendimientos decrecientes logarítmicos.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Los modelos de curvas de progresión logarítmica ofrecen una granulación atractiva: proporcionan recompensas contundentes y veloces al inicio de las sesiones (reduciendo la barrera psicológica de entrada o </w:t>
      </w:r>
      <w:r w:rsidDel="00000000" w:rsidR="00000000" w:rsidRPr="00000000">
        <w:rPr>
          <w:rFonts w:ascii="Google Sans" w:cs="Google Sans" w:eastAsia="Google Sans" w:hAnsi="Google Sans"/>
          <w:i w:val="1"/>
          <w:iCs w:val="1"/>
          <w:color w:val="1f1f1f"/>
          <w:rtl w:val="0"/>
        </w:rPr>
        <w:t xml:space="preserve">onboarding</w:t>
      </w:r>
      <w:r w:rsidDel="00000000" w:rsidR="00000000" w:rsidRPr="00000000">
        <w:rPr>
          <w:rFonts w:ascii="Google Sans" w:cs="Google Sans" w:eastAsia="Google Sans" w:hAnsi="Google Sans"/>
          <w:color w:val="1f1f1f"/>
          <w:rtl w:val="0"/>
        </w:rPr>
        <w:t xml:space="preserve">) pero imponen una erosión asintótica severa sobre el flujo de XP a medida que la tarea se prolonga de manera repetitiva sin transición.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Es decir, se requiere una inversión desproporcionada y exponencial de esfuerzo para seguir arañando puntos en el mismo dominio.</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Además de esta restricción punitiva benigna, el diseño integra un refuerzo positivo cruzado derivado de los sistemas RPG de la vieja escuela (como las dinámicas de nivelación cruzada observadas en integraciones del mundo real de OSRS, Old School RuneScape), donde penalizar la inactividad genera aversión y desgaste, pero introducir un bonificador al reanudar una vía abandonada genera un bucle de enganche colosal. Esta mecánica se denomina aquí el "Bono por Músculo Olvidado" o Bonificación por Abandono.</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función algorítmica unificada está diseñada para solventar este desequilibrio mediante el cálculo meticuloso del </w:t>
      </w:r>
      <w:r w:rsidDel="00000000" w:rsidR="00000000" w:rsidRPr="00000000">
        <w:rPr>
          <w:rFonts w:ascii="Google Sans" w:cs="Google Sans" w:eastAsia="Google Sans" w:hAnsi="Google Sans"/>
          <w:color w:val="1f1f1f"/>
        </w:rPr>
        <w:drawing>
          <wp:inline distB="19050" distT="19050" distL="19050" distR="19050">
            <wp:extent cx="315158" cy="245977"/>
            <wp:effectExtent b="0" l="0" r="0" t="0"/>
            <wp:docPr id="55" name="image40.png"/>
            <a:graphic>
              <a:graphicData uri="http://schemas.openxmlformats.org/drawingml/2006/picture">
                <pic:pic>
                  <pic:nvPicPr>
                    <pic:cNvPr id="0" name="image40.png"/>
                    <pic:cNvPicPr preferRelativeResize="0"/>
                  </pic:nvPicPr>
                  <pic:blipFill>
                    <a:blip r:embed="rId76"/>
                    <a:srcRect b="0" l="0" r="0" t="0"/>
                    <a:stretch>
                      <a:fillRect/>
                    </a:stretch>
                  </pic:blipFill>
                  <pic:spPr>
                    <a:xfrm>
                      <a:off x="0" y="0"/>
                      <a:ext cx="315158" cy="2459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residual otorgado al finalizar la tarea activa. Evaluando la categoría intrínseca de la tarea actual (</w:t>
      </w:r>
      <w:r w:rsidDel="00000000" w:rsidR="00000000" w:rsidRPr="00000000">
        <w:rPr>
          <w:rFonts w:ascii="Google Sans" w:cs="Google Sans" w:eastAsia="Google Sans" w:hAnsi="Google Sans"/>
          <w:color w:val="1f1f1f"/>
        </w:rPr>
        <w:drawing>
          <wp:inline distB="19050" distT="19050" distL="19050" distR="19050">
            <wp:extent cx="2518772" cy="244245"/>
            <wp:effectExtent b="0" l="0" r="0" t="0"/>
            <wp:docPr id="56" name="image39.png"/>
            <a:graphic>
              <a:graphicData uri="http://schemas.openxmlformats.org/drawingml/2006/picture">
                <pic:pic>
                  <pic:nvPicPr>
                    <pic:cNvPr id="0" name="image39.png"/>
                    <pic:cNvPicPr preferRelativeResize="0"/>
                  </pic:nvPicPr>
                  <pic:blipFill>
                    <a:blip r:embed="rId77"/>
                    <a:srcRect b="0" l="0" r="0" t="0"/>
                    <a:stretch>
                      <a:fillRect/>
                    </a:stretch>
                  </pic:blipFill>
                  <pic:spPr>
                    <a:xfrm>
                      <a:off x="0" y="0"/>
                      <a:ext cx="2518772" cy="2442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frente al historial inmediato, la función impone la sanción decreciente si el usuario se obstina en encadenar excesivas tareas de la misma rama, al tiempo que libera la avalancha de la bonificación de abandono si finalmente cambia el estímulo para sanear su organismo.</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Ecuación Unificada de Asignación Logarítmica de XP Cruzado se define operativamente como:</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72126"/>
            <wp:effectExtent b="0" l="0" r="0" t="0"/>
            <wp:docPr id="57" name="image36.png"/>
            <a:graphic>
              <a:graphicData uri="http://schemas.openxmlformats.org/drawingml/2006/picture">
                <pic:pic>
                  <pic:nvPicPr>
                    <pic:cNvPr id="0" name="image36.png"/>
                    <pic:cNvPicPr preferRelativeResize="0"/>
                  </pic:nvPicPr>
                  <pic:blipFill>
                    <a:blip r:embed="rId78"/>
                    <a:srcRect b="0" l="0" r="0" t="0"/>
                    <a:stretch>
                      <a:fillRect/>
                    </a:stretch>
                  </pic:blipFill>
                  <pic:spPr>
                    <a:xfrm>
                      <a:off x="0" y="0"/>
                      <a:ext cx="5905500" cy="972126"/>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rigor paramétrico de la ecuación garantiza la robustez económica del perfil de usuario:</w:t>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860584" cy="245881"/>
            <wp:effectExtent b="0" l="0" r="0" t="0"/>
            <wp:docPr id="58" name="image38.png"/>
            <a:graphic>
              <a:graphicData uri="http://schemas.openxmlformats.org/drawingml/2006/picture">
                <pic:pic>
                  <pic:nvPicPr>
                    <pic:cNvPr id="0" name="image38.png"/>
                    <pic:cNvPicPr preferRelativeResize="0"/>
                  </pic:nvPicPr>
                  <pic:blipFill>
                    <a:blip r:embed="rId79"/>
                    <a:srcRect b="0" l="0" r="0" t="0"/>
                    <a:stretch>
                      <a:fillRect/>
                    </a:stretch>
                  </pic:blipFill>
                  <pic:spPr>
                    <a:xfrm>
                      <a:off x="0" y="0"/>
                      <a:ext cx="860584" cy="2458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la inyección neta y final de puntos de experiencia acreditados a la cuenta del usuario para el posterior ascenso de nivel.</w:t>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572929" cy="244450"/>
            <wp:effectExtent b="0" l="0" r="0" t="0"/>
            <wp:docPr id="59" name="image57.png"/>
            <a:graphic>
              <a:graphicData uri="http://schemas.openxmlformats.org/drawingml/2006/picture">
                <pic:pic>
                  <pic:nvPicPr>
                    <pic:cNvPr id="0" name="image57.png"/>
                    <pic:cNvPicPr preferRelativeResize="0"/>
                  </pic:nvPicPr>
                  <pic:blipFill>
                    <a:blip r:embed="rId80"/>
                    <a:srcRect b="0" l="0" r="0" t="0"/>
                    <a:stretch>
                      <a:fillRect/>
                    </a:stretch>
                  </pic:blipFill>
                  <pic:spPr>
                    <a:xfrm>
                      <a:off x="0" y="0"/>
                      <a:ext cx="572929" cy="244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dotación estándar e inmutable asignada en crudo a la actividad completada (por ejemplo, cincuenta puntos predefinidos para la realización de un bloque complejo de movimientos compuestos de fuerza; treinta puntos para una sesión ininterrumpida de lectura de comprensión de veinte minutos).</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900827" cy="244292"/>
            <wp:effectExtent b="0" l="0" r="0" t="0"/>
            <wp:docPr id="49" name="image30.png"/>
            <a:graphic>
              <a:graphicData uri="http://schemas.openxmlformats.org/drawingml/2006/picture">
                <pic:pic>
                  <pic:nvPicPr>
                    <pic:cNvPr id="0" name="image30.png"/>
                    <pic:cNvPicPr preferRelativeResize="0"/>
                  </pic:nvPicPr>
                  <pic:blipFill>
                    <a:blip r:embed="rId81"/>
                    <a:srcRect b="0" l="0" r="0" t="0"/>
                    <a:stretch>
                      <a:fillRect/>
                    </a:stretch>
                  </pic:blipFill>
                  <pic:spPr>
                    <a:xfrm>
                      <a:off x="0" y="0"/>
                      <a:ext cx="900827" cy="244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Una variable de conteo vital que rastrea el número de iteraciones o eventos consecutivos del mismo dominio matriz (</w:t>
      </w:r>
      <w:r w:rsidDel="00000000" w:rsidR="00000000" w:rsidRPr="00000000">
        <w:rPr>
          <w:rFonts w:ascii="Google Sans" w:cs="Google Sans" w:eastAsia="Google Sans" w:hAnsi="Google Sans"/>
          <w:color w:val="1f1f1f"/>
        </w:rPr>
        <w:drawing>
          <wp:inline distB="19050" distT="19050" distL="19050" distR="19050">
            <wp:extent cx="500420" cy="242628"/>
            <wp:effectExtent b="0" l="0" r="0" t="0"/>
            <wp:docPr id="50" name="image46.png"/>
            <a:graphic>
              <a:graphicData uri="http://schemas.openxmlformats.org/drawingml/2006/picture">
                <pic:pic>
                  <pic:nvPicPr>
                    <pic:cNvPr id="0" name="image46.png"/>
                    <pic:cNvPicPr preferRelativeResize="0"/>
                  </pic:nvPicPr>
                  <pic:blipFill>
                    <a:blip r:embed="rId82"/>
                    <a:srcRect b="0" l="0" r="0" t="0"/>
                    <a:stretch>
                      <a:fillRect/>
                    </a:stretch>
                  </pic:blipFill>
                  <pic:spPr>
                    <a:xfrm>
                      <a:off x="0" y="0"/>
                      <a:ext cx="500420" cy="242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completados en racha, sin interrupción transaccional de un evento del dominio complementario. Si un estudiante acapara tres bloques de estudio sucesivos, </w:t>
      </w:r>
      <w:r w:rsidDel="00000000" w:rsidR="00000000" w:rsidRPr="00000000">
        <w:rPr>
          <w:rFonts w:ascii="Google Sans" w:cs="Google Sans" w:eastAsia="Google Sans" w:hAnsi="Google Sans"/>
          <w:color w:val="1f1f1f"/>
        </w:rPr>
        <w:drawing>
          <wp:inline distB="19050" distT="19050" distL="19050" distR="19050">
            <wp:extent cx="900827" cy="244292"/>
            <wp:effectExtent b="0" l="0" r="0" t="0"/>
            <wp:docPr id="51" name="image30.png"/>
            <a:graphic>
              <a:graphicData uri="http://schemas.openxmlformats.org/drawingml/2006/picture">
                <pic:pic>
                  <pic:nvPicPr>
                    <pic:cNvPr id="0" name="image30.png"/>
                    <pic:cNvPicPr preferRelativeResize="0"/>
                  </pic:nvPicPr>
                  <pic:blipFill>
                    <a:blip r:embed="rId81"/>
                    <a:srcRect b="0" l="0" r="0" t="0"/>
                    <a:stretch>
                      <a:fillRect/>
                    </a:stretch>
                  </pic:blipFill>
                  <pic:spPr>
                    <a:xfrm>
                      <a:off x="0" y="0"/>
                      <a:ext cx="900827" cy="244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eleva a tres. En el instante preciso en el que el estudiante interrumpe la racha sentándose en una bicicleta estática y logueando un entrenamiento, </w:t>
      </w:r>
      <w:r w:rsidDel="00000000" w:rsidR="00000000" w:rsidRPr="00000000">
        <w:rPr>
          <w:rFonts w:ascii="Google Sans" w:cs="Google Sans" w:eastAsia="Google Sans" w:hAnsi="Google Sans"/>
          <w:color w:val="1f1f1f"/>
        </w:rPr>
        <w:drawing>
          <wp:inline distB="19050" distT="19050" distL="19050" distR="19050">
            <wp:extent cx="900827" cy="244292"/>
            <wp:effectExtent b="0" l="0" r="0" t="0"/>
            <wp:docPr id="52" name="image30.png"/>
            <a:graphic>
              <a:graphicData uri="http://schemas.openxmlformats.org/drawingml/2006/picture">
                <pic:pic>
                  <pic:nvPicPr>
                    <pic:cNvPr id="0" name="image30.png"/>
                    <pic:cNvPicPr preferRelativeResize="0"/>
                  </pic:nvPicPr>
                  <pic:blipFill>
                    <a:blip r:embed="rId81"/>
                    <a:srcRect b="0" l="0" r="0" t="0"/>
                    <a:stretch>
                      <a:fillRect/>
                    </a:stretch>
                  </pic:blipFill>
                  <pic:spPr>
                    <a:xfrm>
                      <a:off x="0" y="0"/>
                      <a:ext cx="900827" cy="244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restablece inmediatamente al valor unitario para la nueva disciplina entrante.</w:t>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84058" cy="244533"/>
            <wp:effectExtent b="0" l="0" r="0" t="0"/>
            <wp:docPr id="87" name="image56.png"/>
            <a:graphic>
              <a:graphicData uri="http://schemas.openxmlformats.org/drawingml/2006/picture">
                <pic:pic>
                  <pic:nvPicPr>
                    <pic:cNvPr id="0" name="image56.png"/>
                    <pic:cNvPicPr preferRelativeResize="0"/>
                  </pic:nvPicPr>
                  <pic:blipFill>
                    <a:blip r:embed="rId83"/>
                    <a:srcRect b="0" l="0" r="0" t="0"/>
                    <a:stretch>
                      <a:fillRect/>
                    </a:stretch>
                  </pic:blipFill>
                  <pic:spPr>
                    <a:xfrm>
                      <a:off x="0" y="0"/>
                      <a:ext cx="84058" cy="244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base matemática del atenuador logarítmico (típicamente configurada en </w:t>
      </w:r>
      <w:r w:rsidDel="00000000" w:rsidR="00000000" w:rsidRPr="00000000">
        <w:rPr>
          <w:rFonts w:ascii="Google Sans" w:cs="Google Sans" w:eastAsia="Google Sans" w:hAnsi="Google Sans"/>
          <w:color w:val="1f1f1f"/>
        </w:rPr>
        <w:drawing>
          <wp:inline distB="19050" distT="19050" distL="19050" distR="19050">
            <wp:extent cx="443389" cy="244628"/>
            <wp:effectExtent b="0" l="0" r="0" t="0"/>
            <wp:docPr id="89" name="image62.png"/>
            <a:graphic>
              <a:graphicData uri="http://schemas.openxmlformats.org/drawingml/2006/picture">
                <pic:pic>
                  <pic:nvPicPr>
                    <pic:cNvPr id="0" name="image62.png"/>
                    <pic:cNvPicPr preferRelativeResize="0"/>
                  </pic:nvPicPr>
                  <pic:blipFill>
                    <a:blip r:embed="rId84"/>
                    <a:srcRect b="0" l="0" r="0" t="0"/>
                    <a:stretch>
                      <a:fillRect/>
                    </a:stretch>
                  </pic:blipFill>
                  <pic:spPr>
                    <a:xfrm>
                      <a:off x="0" y="0"/>
                      <a:ext cx="443389" cy="244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Una base binaria desencadena una caída agresiva de la recompensa. La inclusión imperativa de la constante compensatoria interna </w:t>
      </w:r>
      <w:r w:rsidDel="00000000" w:rsidR="00000000" w:rsidRPr="00000000">
        <w:rPr>
          <w:rFonts w:ascii="Google Sans" w:cs="Google Sans" w:eastAsia="Google Sans" w:hAnsi="Google Sans"/>
          <w:color w:val="1f1f1f"/>
        </w:rPr>
        <w:drawing>
          <wp:inline distB="19050" distT="19050" distL="19050" distR="19050">
            <wp:extent cx="574119" cy="244958"/>
            <wp:effectExtent b="0" l="0" r="0" t="0"/>
            <wp:docPr id="91" name="image60.png"/>
            <a:graphic>
              <a:graphicData uri="http://schemas.openxmlformats.org/drawingml/2006/picture">
                <pic:pic>
                  <pic:nvPicPr>
                    <pic:cNvPr id="0" name="image60.png"/>
                    <pic:cNvPicPr preferRelativeResize="0"/>
                  </pic:nvPicPr>
                  <pic:blipFill>
                    <a:blip r:embed="rId85"/>
                    <a:srcRect b="0" l="0" r="0" t="0"/>
                    <a:stretch>
                      <a:fillRect/>
                    </a:stretch>
                  </pic:blipFill>
                  <pic:spPr>
                    <a:xfrm>
                      <a:off x="0" y="0"/>
                      <a:ext cx="574119" cy="2449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garantiza la estabilidad funcional del primer suceso. Cuando </w:t>
      </w:r>
      <w:r w:rsidDel="00000000" w:rsidR="00000000" w:rsidRPr="00000000">
        <w:rPr>
          <w:rFonts w:ascii="Google Sans" w:cs="Google Sans" w:eastAsia="Google Sans" w:hAnsi="Google Sans"/>
          <w:color w:val="1f1f1f"/>
        </w:rPr>
        <w:drawing>
          <wp:inline distB="19050" distT="19050" distL="19050" distR="19050">
            <wp:extent cx="1260158" cy="244394"/>
            <wp:effectExtent b="0" l="0" r="0" t="0"/>
            <wp:docPr id="93" name="image85.png"/>
            <a:graphic>
              <a:graphicData uri="http://schemas.openxmlformats.org/drawingml/2006/picture">
                <pic:pic>
                  <pic:nvPicPr>
                    <pic:cNvPr id="0" name="image85.png"/>
                    <pic:cNvPicPr preferRelativeResize="0"/>
                  </pic:nvPicPr>
                  <pic:blipFill>
                    <a:blip r:embed="rId86"/>
                    <a:srcRect b="0" l="0" r="0" t="0"/>
                    <a:stretch>
                      <a:fillRect/>
                    </a:stretch>
                  </pic:blipFill>
                  <pic:spPr>
                    <a:xfrm>
                      <a:off x="0" y="0"/>
                      <a:ext cx="1260158" cy="244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primera tarea del dominio), el divisor se colapsa a </w:t>
      </w:r>
      <w:r w:rsidDel="00000000" w:rsidR="00000000" w:rsidRPr="00000000">
        <w:rPr>
          <w:rFonts w:ascii="Google Sans" w:cs="Google Sans" w:eastAsia="Google Sans" w:hAnsi="Google Sans"/>
          <w:color w:val="1f1f1f"/>
        </w:rPr>
        <w:drawing>
          <wp:inline distB="19050" distT="19050" distL="19050" distR="19050">
            <wp:extent cx="941427" cy="237270"/>
            <wp:effectExtent b="0" l="0" r="0" t="0"/>
            <wp:docPr id="95" name="image79.png"/>
            <a:graphic>
              <a:graphicData uri="http://schemas.openxmlformats.org/drawingml/2006/picture">
                <pic:pic>
                  <pic:nvPicPr>
                    <pic:cNvPr id="0" name="image79.png"/>
                    <pic:cNvPicPr preferRelativeResize="0"/>
                  </pic:nvPicPr>
                  <pic:blipFill>
                    <a:blip r:embed="rId87"/>
                    <a:srcRect b="0" l="0" r="0" t="0"/>
                    <a:stretch>
                      <a:fillRect/>
                    </a:stretch>
                  </pic:blipFill>
                  <pic:spPr>
                    <a:xfrm>
                      <a:off x="0" y="0"/>
                      <a:ext cx="941427" cy="2372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concediendo al individuo la totalidad justa de su experiencia (</w:t>
      </w:r>
      <w:r w:rsidDel="00000000" w:rsidR="00000000" w:rsidRPr="00000000">
        <w:rPr>
          <w:rFonts w:ascii="Google Sans" w:cs="Google Sans" w:eastAsia="Google Sans" w:hAnsi="Google Sans"/>
          <w:color w:val="1f1f1f"/>
        </w:rPr>
        <w:drawing>
          <wp:inline distB="19050" distT="19050" distL="19050" distR="19050">
            <wp:extent cx="768906" cy="243614"/>
            <wp:effectExtent b="0" l="0" r="0" t="0"/>
            <wp:docPr id="98" name="image80.png"/>
            <a:graphic>
              <a:graphicData uri="http://schemas.openxmlformats.org/drawingml/2006/picture">
                <pic:pic>
                  <pic:nvPicPr>
                    <pic:cNvPr id="0" name="image80.png"/>
                    <pic:cNvPicPr preferRelativeResize="0"/>
                  </pic:nvPicPr>
                  <pic:blipFill>
                    <a:blip r:embed="rId88"/>
                    <a:srcRect b="0" l="0" r="0" t="0"/>
                    <a:stretch>
                      <a:fillRect/>
                    </a:stretch>
                  </pic:blipFill>
                  <pic:spPr>
                    <a:xfrm>
                      <a:off x="0" y="0"/>
                      <a:ext cx="768906" cy="2436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la tercera y cuarta reiteración, el denominador se magnifica drásticamente, pulverizando el incentivo de la recompensa.</w:t>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710684" cy="244536"/>
            <wp:effectExtent b="0" l="0" r="0" t="0"/>
            <wp:docPr id="14" name="image2.png"/>
            <a:graphic>
              <a:graphicData uri="http://schemas.openxmlformats.org/drawingml/2006/picture">
                <pic:pic>
                  <pic:nvPicPr>
                    <pic:cNvPr id="0" name="image2.png"/>
                    <pic:cNvPicPr preferRelativeResize="0"/>
                  </pic:nvPicPr>
                  <pic:blipFill>
                    <a:blip r:embed="rId89"/>
                    <a:srcRect b="0" l="0" r="0" t="0"/>
                    <a:stretch>
                      <a:fillRect/>
                    </a:stretch>
                  </pic:blipFill>
                  <pic:spPr>
                    <a:xfrm>
                      <a:off x="0" y="0"/>
                      <a:ext cx="710684" cy="2445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contabilizador cronológico del descuido, medido en días absolutos transcurridos desde que el usuario se ocupó por última vez de registrar un evento de la disciplina inversa o "abandonada".</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34660" cy="253477"/>
            <wp:effectExtent b="0" l="0" r="0" t="0"/>
            <wp:docPr id="13" name="image5.png"/>
            <a:graphic>
              <a:graphicData uri="http://schemas.openxmlformats.org/drawingml/2006/picture">
                <pic:pic>
                  <pic:nvPicPr>
                    <pic:cNvPr id="0" name="image5.png"/>
                    <pic:cNvPicPr preferRelativeResize="0"/>
                  </pic:nvPicPr>
                  <pic:blipFill>
                    <a:blip r:embed="rId90"/>
                    <a:srcRect b="0" l="0" r="0" t="0"/>
                    <a:stretch>
                      <a:fillRect/>
                    </a:stretch>
                  </pic:blipFill>
                  <pic:spPr>
                    <a:xfrm>
                      <a:off x="0" y="0"/>
                      <a:ext cx="134660" cy="2534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multiplicador paramétrico del "Bono por Abandono" (Neglected Muscle Bonus). Estratégicamente, se modela con un peso incremental del diez por ciento diario (</w:t>
      </w:r>
      <w:r w:rsidDel="00000000" w:rsidR="00000000" w:rsidRPr="00000000">
        <w:rPr>
          <w:rFonts w:ascii="Google Sans" w:cs="Google Sans" w:eastAsia="Google Sans" w:hAnsi="Google Sans"/>
          <w:color w:val="1f1f1f"/>
        </w:rPr>
        <w:drawing>
          <wp:inline distB="19050" distT="19050" distL="19050" distR="19050">
            <wp:extent cx="348377" cy="234776"/>
            <wp:effectExtent b="0" l="0" r="0" t="0"/>
            <wp:docPr id="17" name="image14.png"/>
            <a:graphic>
              <a:graphicData uri="http://schemas.openxmlformats.org/drawingml/2006/picture">
                <pic:pic>
                  <pic:nvPicPr>
                    <pic:cNvPr id="0" name="image14.png"/>
                    <pic:cNvPicPr preferRelativeResize="0"/>
                  </pic:nvPicPr>
                  <pic:blipFill>
                    <a:blip r:embed="rId91"/>
                    <a:srcRect b="0" l="0" r="0" t="0"/>
                    <a:stretch>
                      <a:fillRect/>
                    </a:stretch>
                  </pic:blipFill>
                  <pic:spPr>
                    <a:xfrm>
                      <a:off x="0" y="0"/>
                      <a:ext cx="348377" cy="234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De este modo, si el estudiante se ha enquistado en una fase obsesiva de preparación de oposiciones manteniéndose sedentario por cuatro días consecutivos (</w:t>
      </w:r>
      <w:r w:rsidDel="00000000" w:rsidR="00000000" w:rsidRPr="00000000">
        <w:rPr>
          <w:rFonts w:ascii="Google Sans" w:cs="Google Sans" w:eastAsia="Google Sans" w:hAnsi="Google Sans"/>
          <w:color w:val="1f1f1f"/>
        </w:rPr>
        <w:drawing>
          <wp:inline distB="19050" distT="19050" distL="19050" distR="19050">
            <wp:extent cx="1070019" cy="244576"/>
            <wp:effectExtent b="0" l="0" r="0" t="0"/>
            <wp:docPr id="15" name="image9.png"/>
            <a:graphic>
              <a:graphicData uri="http://schemas.openxmlformats.org/drawingml/2006/picture">
                <pic:pic>
                  <pic:nvPicPr>
                    <pic:cNvPr id="0" name="image9.png"/>
                    <pic:cNvPicPr preferRelativeResize="0"/>
                  </pic:nvPicPr>
                  <pic:blipFill>
                    <a:blip r:embed="rId92"/>
                    <a:srcRect b="0" l="0" r="0" t="0"/>
                    <a:stretch>
                      <a:fillRect/>
                    </a:stretch>
                  </pic:blipFill>
                  <pic:spPr>
                    <a:xfrm>
                      <a:off x="0" y="0"/>
                      <a:ext cx="1070019" cy="2445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inyección inminente que recibirá la próxima vez que se atreva a ejecutar una sesión de fuerza o carrera cardiovascular estará amparada por un bono cruzado adicional masivo del cuarenta por ciento sobre su XP atlético base (</w:t>
      </w:r>
      <w:r w:rsidDel="00000000" w:rsidR="00000000" w:rsidRPr="00000000">
        <w:rPr>
          <w:rFonts w:ascii="Google Sans" w:cs="Google Sans" w:eastAsia="Google Sans" w:hAnsi="Google Sans"/>
          <w:color w:val="1f1f1f"/>
        </w:rPr>
        <w:drawing>
          <wp:inline distB="19050" distT="19050" distL="19050" distR="19050">
            <wp:extent cx="1436970" cy="236947"/>
            <wp:effectExtent b="0" l="0" r="0" t="0"/>
            <wp:docPr id="12" name="image11.png"/>
            <a:graphic>
              <a:graphicData uri="http://schemas.openxmlformats.org/drawingml/2006/picture">
                <pic:pic>
                  <pic:nvPicPr>
                    <pic:cNvPr id="0" name="image11.png"/>
                    <pic:cNvPicPr preferRelativeResize="0"/>
                  </pic:nvPicPr>
                  <pic:blipFill>
                    <a:blip r:embed="rId93"/>
                    <a:srcRect b="0" l="0" r="0" t="0"/>
                    <a:stretch>
                      <a:fillRect/>
                    </a:stretch>
                  </pic:blipFill>
                  <pic:spPr>
                    <a:xfrm>
                      <a:off x="0" y="0"/>
                      <a:ext cx="1436970" cy="2369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intrincada simbiosis algorítmica entre la restricción logarítmica y la inflación del bono olvidado manipula la cascada dopaminérgica del comportamiento humano. Ejerce una presión coercitiva indetectable que orquesta a la perfección el perfil de hábitos del usuario, demostrando matemáticamente que para un escalado competitivo y un nivelado eficiente, la estrategia ineludible es alternar incesantemente: completar un tramo académico exhaustivo, depurar el sistema con una descarga endorfínica deportiva, y retornar a los manuales, abrazando en última instancia la cima del equilibrio homeostático que SynaptixFit proclama.</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registrar y administrar eficientemente la contabilidad de la economía in-game a nivel de servidor sin cuellos de botella computacionales, el diseño de datos debe regirse por un patrón de arquitectura Ledger de doble capa.</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Nombre de Columna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Tipo de Dato (PostgreSQL)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Restricciones Estructurales y Justificación Técnica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Tabla:</w:t>
            </w:r>
            <w:r w:rsidDel="00000000" w:rsidR="00000000" w:rsidRPr="00000000">
              <w:rPr>
                <w:rFonts w:ascii="Google Sans" w:cs="Google Sans" w:eastAsia="Google Sans" w:hAnsi="Google Sans"/>
                <w:color w:val="1f1f1f"/>
                <w:rtl w:val="0"/>
              </w:rPr>
              <w:t xml:space="preserve"> gamification_ledger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Libro mayor de transacciones insert-only para garantizar trazabilidad y auditoría de balances de XP.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 DEFAULT gen_random_uuid().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REFERENCES users(user_id) ON DELETE CASCADE.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 WITH TIME ZONE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DEFAULT NOW(). Marca del ingreso de la ganancia.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domain_type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CHECK (domain_type IN ('ACADEMIC', 'PHYSICAL')). Categórico estricto.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base_xp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Valor pre-atenuación.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n_consecutive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longitud de la racha registrada durante la transacción.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neglected_bonus_days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Días sin interacción con la rama opuesta en este corte preciso.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net_xp_awarded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 El XP fraccional concedido definitivamente y consolidado.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Tabla:</w:t>
            </w:r>
            <w:r w:rsidDel="00000000" w:rsidR="00000000" w:rsidRPr="00000000">
              <w:rPr>
                <w:rFonts w:ascii="Google Sans" w:cs="Google Sans" w:eastAsia="Google Sans" w:hAnsi="Google Sans"/>
                <w:color w:val="1f1f1f"/>
                <w:rtl w:val="0"/>
              </w:rPr>
              <w:t xml:space="preserve"> user_gamification_profile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Proyección materializada en tiempo real para peticiones API ligeras orientadas a UI (pantalla de inicio).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 FOREIGN KEY REFERENCES users(user_id).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total_xp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BIGINT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Sumatoria total y agregada de la columna net_xp_awarded.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current_level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GENERATED ALWAYS AS (FLOOR(SQRT(total_xp / 100.0))) STORED (o fórmula de rango de RPG adaptable derivada del sumatorio de puntos).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last_domain_trained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Sobrescrito constantemente con 'ACADEMIC' o 'PHYSICAL' tras cada evento registrado.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current_streak_count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valor flotante actualizado del </w:t>
            </w:r>
            <w:r w:rsidDel="00000000" w:rsidR="00000000" w:rsidRPr="00000000">
              <w:rPr>
                <w:rFonts w:ascii="Google Sans" w:cs="Google Sans" w:eastAsia="Google Sans" w:hAnsi="Google Sans"/>
                <w:color w:val="1f1f1f"/>
              </w:rPr>
              <w:drawing>
                <wp:inline distB="19050" distT="19050" distL="19050" distR="19050">
                  <wp:extent cx="900827" cy="244292"/>
                  <wp:effectExtent b="0" l="0" r="0" t="0"/>
                  <wp:docPr id="11" name="image30.png"/>
                  <a:graphic>
                    <a:graphicData uri="http://schemas.openxmlformats.org/drawingml/2006/picture">
                      <pic:pic>
                        <pic:nvPicPr>
                          <pic:cNvPr id="0" name="image30.png"/>
                          <pic:cNvPicPr preferRelativeResize="0"/>
                        </pic:nvPicPr>
                        <pic:blipFill>
                          <a:blip r:embed="rId81"/>
                          <a:srcRect b="0" l="0" r="0" t="0"/>
                          <a:stretch>
                            <a:fillRect/>
                          </a:stretch>
                        </pic:blipFill>
                        <pic:spPr>
                          <a:xfrm>
                            <a:off x="0" y="0"/>
                            <a:ext cx="900827" cy="244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que el backend no necesite releer la tabla de Ledger gigante para aplicar la penalización del logaritmo.</w:t>
            </w:r>
          </w:p>
        </w:tc>
      </w:tr>
    </w:tbl>
    <w:p w:rsidR="00000000" w:rsidDel="00000000" w:rsidP="00000000" w:rsidRDefault="00000000" w:rsidRPr="00000000" w14:paraId="00000110">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Corrected METs - Compendium of Physical Activities - Google Sites, fecha de acceso: junio 29, 2026, </w:t>
      </w:r>
      <w:hyperlink r:id="rId94">
        <w:r w:rsidDel="00000000" w:rsidR="00000000" w:rsidRPr="00000000">
          <w:rPr>
            <w:rFonts w:ascii="Google Sans" w:cs="Google Sans" w:eastAsia="Google Sans" w:hAnsi="Google Sans"/>
            <w:color w:val="0000ee"/>
            <w:sz w:val="24"/>
            <w:szCs w:val="24"/>
            <w:u w:val="single"/>
            <w:rtl w:val="0"/>
          </w:rPr>
          <w:t xml:space="preserve">https://sites.google.com/site/compendiumofphysicalactivities/corrected-mets</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Compendium of Physical Activities – Quantifying Physical Activity Energy Expenditure, fecha de acceso: junio 29, 2026, </w:t>
      </w:r>
      <w:hyperlink r:id="rId95">
        <w:r w:rsidDel="00000000" w:rsidR="00000000" w:rsidRPr="00000000">
          <w:rPr>
            <w:rFonts w:ascii="Google Sans" w:cs="Google Sans" w:eastAsia="Google Sans" w:hAnsi="Google Sans"/>
            <w:color w:val="0000ee"/>
            <w:sz w:val="24"/>
            <w:szCs w:val="24"/>
            <w:u w:val="single"/>
            <w:rtl w:val="0"/>
          </w:rPr>
          <w:t xml:space="preserve">https://pacompendium.com/</w:t>
        </w:r>
      </w:hyperlink>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Adult Compendium of Physical Activities: A third update of the energy costs of human activities - PMC, fecha de acceso: junio 29, 2026, </w:t>
      </w:r>
      <w:hyperlink r:id="rId96">
        <w:r w:rsidDel="00000000" w:rsidR="00000000" w:rsidRPr="00000000">
          <w:rPr>
            <w:rFonts w:ascii="Google Sans" w:cs="Google Sans" w:eastAsia="Google Sans" w:hAnsi="Google Sans"/>
            <w:color w:val="0000ee"/>
            <w:sz w:val="24"/>
            <w:szCs w:val="24"/>
            <w:u w:val="single"/>
            <w:rtl w:val="0"/>
          </w:rPr>
          <w:t xml:space="preserve">https://pmc.ncbi.nlm.nih.gov/articles/PMC10818145/</w:t>
        </w:r>
      </w:hyperlink>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2011 Compendium of Physical Activities, fecha de acceso: junio 29, 2026, </w:t>
      </w:r>
      <w:hyperlink r:id="rId97">
        <w:r w:rsidDel="00000000" w:rsidR="00000000" w:rsidRPr="00000000">
          <w:rPr>
            <w:rFonts w:ascii="Google Sans" w:cs="Google Sans" w:eastAsia="Google Sans" w:hAnsi="Google Sans"/>
            <w:color w:val="0000ee"/>
            <w:sz w:val="24"/>
            <w:szCs w:val="24"/>
            <w:u w:val="single"/>
            <w:rtl w:val="0"/>
          </w:rPr>
          <w:t xml:space="preserve">https://cdn-links.lww.com/permalink/mss/a/mss_43_8_2011_06_13_ainsworth_202093_sdc1.pdf</w:t>
        </w:r>
      </w:hyperlink>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Nutritional Support - Nutrition - Merck Manual Professional Edition, fecha de acceso: junio 29, 2026, </w:t>
      </w:r>
      <w:hyperlink r:id="rId98">
        <w:r w:rsidDel="00000000" w:rsidR="00000000" w:rsidRPr="00000000">
          <w:rPr>
            <w:rFonts w:ascii="Google Sans" w:cs="Google Sans" w:eastAsia="Google Sans" w:hAnsi="Google Sans"/>
            <w:color w:val="0000ee"/>
            <w:sz w:val="24"/>
            <w:szCs w:val="24"/>
            <w:u w:val="single"/>
            <w:rtl w:val="0"/>
          </w:rPr>
          <w:t xml:space="preserve">https://www.merckmanuals.com/professional/nutritional-disorders/nutritional-support/overview-of-nutritional-support</w:t>
        </w:r>
      </w:hyperlink>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predictive equation for resting energy expenditure in healthy individuals - PubMed, fecha de acceso: junio 29, 2026, </w:t>
      </w:r>
      <w:hyperlink r:id="rId99">
        <w:r w:rsidDel="00000000" w:rsidR="00000000" w:rsidRPr="00000000">
          <w:rPr>
            <w:rFonts w:ascii="Google Sans" w:cs="Google Sans" w:eastAsia="Google Sans" w:hAnsi="Google Sans"/>
            <w:color w:val="0000ee"/>
            <w:sz w:val="24"/>
            <w:szCs w:val="24"/>
            <w:u w:val="single"/>
            <w:rtl w:val="0"/>
          </w:rPr>
          <w:t xml:space="preserve">https://pubmed.ncbi.nlm.nih.gov/2305711/</w:t>
        </w:r>
      </w:hyperlink>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predictive equation for resting energy expenditure in healthy individuals., fecha de acceso: junio 29, 2026, </w:t>
      </w:r>
      <w:hyperlink r:id="rId100">
        <w:r w:rsidDel="00000000" w:rsidR="00000000" w:rsidRPr="00000000">
          <w:rPr>
            <w:rFonts w:ascii="Google Sans" w:cs="Google Sans" w:eastAsia="Google Sans" w:hAnsi="Google Sans"/>
            <w:color w:val="0000ee"/>
            <w:sz w:val="24"/>
            <w:szCs w:val="24"/>
            <w:u w:val="single"/>
            <w:rtl w:val="0"/>
          </w:rPr>
          <w:t xml:space="preserve">https://www.semanticscholar.org/paper/A-new-predictive-equation-for-resting-energy-in-Mifflin-Jeor/063d9aed743d8b00508d76265a96348ed44cb9cf</w:t>
        </w:r>
      </w:hyperlink>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predictive equation for resting energy expenditure in healthy individuals 3 - The Carnot Diet, fecha de acceso: junio 29, 2026, </w:t>
      </w:r>
      <w:hyperlink r:id="rId101">
        <w:r w:rsidDel="00000000" w:rsidR="00000000" w:rsidRPr="00000000">
          <w:rPr>
            <w:rFonts w:ascii="Google Sans" w:cs="Google Sans" w:eastAsia="Google Sans" w:hAnsi="Google Sans"/>
            <w:color w:val="0000ee"/>
            <w:sz w:val="24"/>
            <w:szCs w:val="24"/>
            <w:u w:val="single"/>
            <w:rtl w:val="0"/>
          </w:rPr>
          <w:t xml:space="preserve">http://www.carnotdiet.com/Files/BMRMifflin1990.pdf</w:t>
        </w:r>
      </w:hyperlink>
      <w:r w:rsidDel="00000000" w:rsidR="00000000" w:rsidRPr="00000000">
        <w:rPr>
          <w:rtl w:val="0"/>
        </w:rPr>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Human Energy Expenditure, Work and Power – The Physiology of Exercise, fecha de acceso: junio 29, 2026, </w:t>
      </w:r>
      <w:hyperlink r:id="rId102">
        <w:r w:rsidDel="00000000" w:rsidR="00000000" w:rsidRPr="00000000">
          <w:rPr>
            <w:rFonts w:ascii="Google Sans" w:cs="Google Sans" w:eastAsia="Google Sans" w:hAnsi="Google Sans"/>
            <w:color w:val="0000ee"/>
            <w:sz w:val="24"/>
            <w:szCs w:val="24"/>
            <w:u w:val="single"/>
            <w:rtl w:val="0"/>
          </w:rPr>
          <w:t xml:space="preserve">https://saalck.pressbooks.pub/physioex/chapter/chapter-6-measuring-human-energy-expenditure-work-and-pow/</w:t>
        </w:r>
      </w:hyperlink>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TDEE Calculator | Calories Burned Per Day | ATHLEAN-X, fecha de acceso: junio 29, 2026, </w:t>
      </w:r>
      <w:hyperlink r:id="rId103">
        <w:r w:rsidDel="00000000" w:rsidR="00000000" w:rsidRPr="00000000">
          <w:rPr>
            <w:rFonts w:ascii="Google Sans" w:cs="Google Sans" w:eastAsia="Google Sans" w:hAnsi="Google Sans"/>
            <w:color w:val="0000ee"/>
            <w:sz w:val="24"/>
            <w:szCs w:val="24"/>
            <w:u w:val="single"/>
            <w:rtl w:val="0"/>
          </w:rPr>
          <w:t xml:space="preserve">https://learn.athleanx.com/calculators/tdee-calculator</w:t>
        </w:r>
      </w:hyperlink>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Physical Activity Intensities and Energy Expenditure in Overweight and Obese Adults | International Journal of Sports and Exercise Medicine, fecha de acceso: junio 29, 2026, </w:t>
      </w:r>
      <w:hyperlink r:id="rId104">
        <w:r w:rsidDel="00000000" w:rsidR="00000000" w:rsidRPr="00000000">
          <w:rPr>
            <w:rFonts w:ascii="Google Sans" w:cs="Google Sans" w:eastAsia="Google Sans" w:hAnsi="Google Sans"/>
            <w:color w:val="0000ee"/>
            <w:sz w:val="24"/>
            <w:szCs w:val="24"/>
            <w:u w:val="single"/>
            <w:rtl w:val="0"/>
          </w:rPr>
          <w:t xml:space="preserve">http://clinmedjournals.org/articles/ijsem/international-journal-of-sports-and-exercise-medicine-ijsem-2-040.php?jid=ijsem</w:t>
        </w:r>
      </w:hyperlink>
      <w:r w:rsidDel="00000000" w:rsidR="00000000" w:rsidRPr="00000000">
        <w:rPr>
          <w:rtl w:val="0"/>
        </w:rPr>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Personalized Energy Expenditure Estimation Method Using Modified MET and Heart Rate-Based DQN - PMC, fecha de acceso: junio 29, 2026, </w:t>
      </w:r>
      <w:hyperlink r:id="rId105">
        <w:r w:rsidDel="00000000" w:rsidR="00000000" w:rsidRPr="00000000">
          <w:rPr>
            <w:rFonts w:ascii="Google Sans" w:cs="Google Sans" w:eastAsia="Google Sans" w:hAnsi="Google Sans"/>
            <w:color w:val="0000ee"/>
            <w:sz w:val="24"/>
            <w:szCs w:val="24"/>
            <w:u w:val="single"/>
            <w:rtl w:val="0"/>
          </w:rPr>
          <w:t xml:space="preserve">https://pmc.ncbi.nlm.nih.gov/articles/PMC12158062/</w:t>
        </w:r>
      </w:hyperlink>
      <w:r w:rsidDel="00000000" w:rsidR="00000000" w:rsidRPr="00000000">
        <w:rPr>
          <w:rtl w:val="0"/>
        </w:rPr>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Cognitive Modeling of the Temporal Dynamics of Fatigue from Sleep Loss, fecha de acceso: junio 29, 2026, </w:t>
      </w:r>
      <w:hyperlink r:id="rId106">
        <w:r w:rsidDel="00000000" w:rsidR="00000000" w:rsidRPr="00000000">
          <w:rPr>
            <w:rFonts w:ascii="Google Sans" w:cs="Google Sans" w:eastAsia="Google Sans" w:hAnsi="Google Sans"/>
            <w:color w:val="0000ee"/>
            <w:sz w:val="24"/>
            <w:szCs w:val="24"/>
            <w:u w:val="single"/>
            <w:rtl w:val="0"/>
          </w:rPr>
          <w:t xml:space="preserve">https://pmc.ncbi.nlm.nih.gov/articles/PMC5559350/</w:t>
        </w:r>
      </w:hyperlink>
      <w:r w:rsidDel="00000000" w:rsidR="00000000" w:rsidRPr="00000000">
        <w:rPr>
          <w:rtl w:val="0"/>
        </w:rPr>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cost as dynamic allocation of energetic resources - Frontiers, fecha de acceso: junio 29, 2026, </w:t>
      </w:r>
      <w:hyperlink r:id="rId107">
        <w:r w:rsidDel="00000000" w:rsidR="00000000" w:rsidRPr="00000000">
          <w:rPr>
            <w:rFonts w:ascii="Google Sans" w:cs="Google Sans" w:eastAsia="Google Sans" w:hAnsi="Google Sans"/>
            <w:color w:val="0000ee"/>
            <w:sz w:val="24"/>
            <w:szCs w:val="24"/>
            <w:u w:val="single"/>
            <w:rtl w:val="0"/>
          </w:rPr>
          <w:t xml:space="preserve">https://www.frontiersin.org/journals/neuroscience/articles/10.3389/fnins.2015.00289/pdf</w:t>
        </w:r>
      </w:hyperlink>
      <w:r w:rsidDel="00000000" w:rsidR="00000000" w:rsidRPr="00000000">
        <w:rPr>
          <w:rtl w:val="0"/>
        </w:rPr>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framework of fatigue: connecting motivational control and computational moderators to gamma oscillations - PMC, fecha de acceso: junio 29, 2026, </w:t>
      </w:r>
      <w:hyperlink r:id="rId108">
        <w:r w:rsidDel="00000000" w:rsidR="00000000" w:rsidRPr="00000000">
          <w:rPr>
            <w:rFonts w:ascii="Google Sans" w:cs="Google Sans" w:eastAsia="Google Sans" w:hAnsi="Google Sans"/>
            <w:color w:val="0000ee"/>
            <w:sz w:val="24"/>
            <w:szCs w:val="24"/>
            <w:u w:val="single"/>
            <w:rtl w:val="0"/>
          </w:rPr>
          <w:t xml:space="preserve">https://pmc.ncbi.nlm.nih.gov/articles/PMC11165150/</w:t>
        </w:r>
      </w:hyperlink>
      <w:r w:rsidDel="00000000" w:rsidR="00000000" w:rsidRPr="00000000">
        <w:rPr>
          <w:rtl w:val="0"/>
        </w:rPr>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Current Practices for Mental Fatigue Quantification and Induction in Movement Science: Introducing the SPeCIFY Guidelines - PMC, fecha de acceso: junio 29, 2026, </w:t>
      </w:r>
      <w:hyperlink r:id="rId109">
        <w:r w:rsidDel="00000000" w:rsidR="00000000" w:rsidRPr="00000000">
          <w:rPr>
            <w:rFonts w:ascii="Google Sans" w:cs="Google Sans" w:eastAsia="Google Sans" w:hAnsi="Google Sans"/>
            <w:color w:val="0000ee"/>
            <w:sz w:val="24"/>
            <w:szCs w:val="24"/>
            <w:u w:val="single"/>
            <w:rtl w:val="0"/>
          </w:rPr>
          <w:t xml:space="preserve">https://pmc.ncbi.nlm.nih.gov/articles/PMC12513898/</w:t>
        </w:r>
      </w:hyperlink>
      <w:r w:rsidDel="00000000" w:rsidR="00000000" w:rsidRPr="00000000">
        <w:rPr>
          <w:rtl w:val="0"/>
        </w:rPr>
      </w:r>
    </w:p>
    <w:p w:rsidR="00000000" w:rsidDel="00000000" w:rsidP="00000000" w:rsidRDefault="00000000" w:rsidRPr="00000000" w14:paraId="000001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Human-Robot Team Performance Based on Cognitive Fatigue - White Rose Research Online, fecha de acceso: junio 29, 2026, </w:t>
      </w:r>
      <w:hyperlink r:id="rId110">
        <w:r w:rsidDel="00000000" w:rsidR="00000000" w:rsidRPr="00000000">
          <w:rPr>
            <w:rFonts w:ascii="Google Sans" w:cs="Google Sans" w:eastAsia="Google Sans" w:hAnsi="Google Sans"/>
            <w:color w:val="0000ee"/>
            <w:sz w:val="24"/>
            <w:szCs w:val="24"/>
            <w:u w:val="single"/>
            <w:rtl w:val="0"/>
          </w:rPr>
          <w:t xml:space="preserve">https://eprints.whiterose.ac.uk/id/eprint/201280/1/Predicting%20Human-Robot%20Team%20Performance%20Based%20on%20Cognitive%20Fatigue.pdf</w:t>
        </w:r>
      </w:hyperlink>
      <w:r w:rsidDel="00000000" w:rsidR="00000000" w:rsidRPr="00000000">
        <w:rPr>
          <w:rtl w:val="0"/>
        </w:rPr>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mathematical framework for modelling the dynamic nature of ADHD symptoms - PMC, fecha de acceso: junio 29, 2026, </w:t>
      </w:r>
      <w:hyperlink r:id="rId111">
        <w:r w:rsidDel="00000000" w:rsidR="00000000" w:rsidRPr="00000000">
          <w:rPr>
            <w:rFonts w:ascii="Google Sans" w:cs="Google Sans" w:eastAsia="Google Sans" w:hAnsi="Google Sans"/>
            <w:color w:val="0000ee"/>
            <w:sz w:val="24"/>
            <w:szCs w:val="24"/>
            <w:u w:val="single"/>
            <w:rtl w:val="0"/>
          </w:rPr>
          <w:t xml:space="preserve">https://pmc.ncbi.nlm.nih.gov/articles/PMC12827614/</w:t>
        </w:r>
      </w:hyperlink>
      <w:r w:rsidDel="00000000" w:rsidR="00000000" w:rsidRPr="00000000">
        <w:rPr>
          <w:rtl w:val="0"/>
        </w:rPr>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Keep Yourself on Task by Checking in with Measure: Evidence-Based Focus Engineering, fecha de acceso: junio 29, 2026, </w:t>
      </w:r>
      <w:hyperlink r:id="rId112">
        <w:r w:rsidDel="00000000" w:rsidR="00000000" w:rsidRPr="00000000">
          <w:rPr>
            <w:rFonts w:ascii="Google Sans" w:cs="Google Sans" w:eastAsia="Google Sans" w:hAnsi="Google Sans"/>
            <w:color w:val="0000ee"/>
            <w:sz w:val="24"/>
            <w:szCs w:val="24"/>
            <w:u w:val="single"/>
            <w:rtl w:val="0"/>
          </w:rPr>
          <w:t xml:space="preserve">https://lifetips.alibaba.com/tech-efficiency/keep-yourself-on-task-by-checking-in-with-maesure</w:t>
        </w:r>
      </w:hyperlink>
      <w:r w:rsidDel="00000000" w:rsidR="00000000" w:rsidRPr="00000000">
        <w:rPr>
          <w:rtl w:val="0"/>
        </w:rPr>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the Hugging-Verse, fecha de acceso: junio 29, 2026, </w:t>
      </w:r>
      <w:hyperlink r:id="rId113">
        <w:r w:rsidDel="00000000" w:rsidR="00000000" w:rsidRPr="00000000">
          <w:rPr>
            <w:rFonts w:ascii="Google Sans" w:cs="Google Sans" w:eastAsia="Google Sans" w:hAnsi="Google Sans"/>
            <w:color w:val="0000ee"/>
            <w:sz w:val="24"/>
            <w:szCs w:val="24"/>
            <w:u w:val="single"/>
            <w:rtl w:val="0"/>
          </w:rPr>
          <w:t xml:space="preserve">https://www.stevhliu.com/2025/hf-universe</w:t>
        </w:r>
      </w:hyperlink>
      <w:r w:rsidDel="00000000" w:rsidR="00000000" w:rsidRPr="00000000">
        <w:rPr>
          <w:rtl w:val="0"/>
        </w:rPr>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fecha de acceso: junio 29, 2026, </w:t>
      </w:r>
      <w:hyperlink r:id="rId114">
        <w:r w:rsidDel="00000000" w:rsidR="00000000" w:rsidRPr="00000000">
          <w:rPr>
            <w:rFonts w:ascii="Google Sans" w:cs="Google Sans" w:eastAsia="Google Sans" w:hAnsi="Google Sans"/>
            <w:color w:val="0000ee"/>
            <w:sz w:val="24"/>
            <w:szCs w:val="24"/>
            <w:u w:val="single"/>
            <w:rtl w:val="0"/>
          </w:rPr>
          <w:t xml:space="preserve">https://pmc.ncbi.nlm.nih.gov/articles/PMC4854881/#:~:text=Trying%20to%20explain%20how%20and,ultimately%2C%20to%20prevent%20homeostatic%20breakdown%2C</w:t>
        </w:r>
      </w:hyperlink>
      <w:r w:rsidDel="00000000" w:rsidR="00000000" w:rsidRPr="00000000">
        <w:rPr>
          <w:rtl w:val="0"/>
        </w:rPr>
      </w:r>
    </w:p>
    <w:p w:rsidR="00000000" w:rsidDel="00000000" w:rsidP="00000000" w:rsidRDefault="00000000" w:rsidRPr="00000000" w14:paraId="000001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Your Brain Control Fatigue? | Polar Global, fecha de acceso: junio 29, 2026, </w:t>
      </w:r>
      <w:hyperlink r:id="rId115">
        <w:r w:rsidDel="00000000" w:rsidR="00000000" w:rsidRPr="00000000">
          <w:rPr>
            <w:rFonts w:ascii="Google Sans" w:cs="Google Sans" w:eastAsia="Google Sans" w:hAnsi="Google Sans"/>
            <w:color w:val="0000ee"/>
            <w:sz w:val="24"/>
            <w:szCs w:val="24"/>
            <w:u w:val="single"/>
            <w:rtl w:val="0"/>
          </w:rPr>
          <w:t xml:space="preserve">https://www.polar.com/en/journal/central-governor-theory</w:t>
        </w:r>
      </w:hyperlink>
      <w:r w:rsidDel="00000000" w:rsidR="00000000" w:rsidRPr="00000000">
        <w:rPr>
          <w:rtl w:val="0"/>
        </w:rPr>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Central Governor and Fatigue – Neuromechanics of Human Movement, fecha de acceso: junio 29, 2026, </w:t>
      </w:r>
      <w:hyperlink r:id="rId116">
        <w:r w:rsidDel="00000000" w:rsidR="00000000" w:rsidRPr="00000000">
          <w:rPr>
            <w:rFonts w:ascii="Google Sans" w:cs="Google Sans" w:eastAsia="Google Sans" w:hAnsi="Google Sans"/>
            <w:color w:val="0000ee"/>
            <w:sz w:val="24"/>
            <w:szCs w:val="24"/>
            <w:u w:val="single"/>
            <w:rtl w:val="0"/>
          </w:rPr>
          <w:t xml:space="preserve">https://pressbooks.calstate.edu/humanneuromechanics/chapter/central-governor-and-fatigue/</w:t>
        </w:r>
      </w:hyperlink>
      <w:r w:rsidDel="00000000" w:rsidR="00000000" w:rsidRPr="00000000">
        <w:rPr>
          <w:rtl w:val="0"/>
        </w:rPr>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fatigue all in your head? A critical review of the central governor model - PMC, fecha de acceso: junio 29, 2026, </w:t>
      </w:r>
      <w:hyperlink r:id="rId117">
        <w:r w:rsidDel="00000000" w:rsidR="00000000" w:rsidRPr="00000000">
          <w:rPr>
            <w:rFonts w:ascii="Google Sans" w:cs="Google Sans" w:eastAsia="Google Sans" w:hAnsi="Google Sans"/>
            <w:color w:val="0000ee"/>
            <w:sz w:val="24"/>
            <w:szCs w:val="24"/>
            <w:u w:val="single"/>
            <w:rtl w:val="0"/>
          </w:rPr>
          <w:t xml:space="preserve">https://pmc.ncbi.nlm.nih.gov/articles/PMC2564297/</w:t>
        </w:r>
      </w:hyperlink>
      <w:r w:rsidDel="00000000" w:rsidR="00000000" w:rsidRPr="00000000">
        <w:rPr>
          <w:rtl w:val="0"/>
        </w:rPr>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Mental fatigue impairs physical performance in humans - PubMed, fecha de acceso: junio 29, 2026, </w:t>
      </w:r>
      <w:hyperlink r:id="rId118">
        <w:r w:rsidDel="00000000" w:rsidR="00000000" w:rsidRPr="00000000">
          <w:rPr>
            <w:rFonts w:ascii="Google Sans" w:cs="Google Sans" w:eastAsia="Google Sans" w:hAnsi="Google Sans"/>
            <w:color w:val="0000ee"/>
            <w:sz w:val="24"/>
            <w:szCs w:val="24"/>
            <w:u w:val="single"/>
            <w:rtl w:val="0"/>
          </w:rPr>
          <w:t xml:space="preserve">https://pubmed.ncbi.nlm.nih.gov/19131473/</w:t>
        </w:r>
      </w:hyperlink>
      <w:r w:rsidDel="00000000" w:rsidR="00000000" w:rsidRPr="00000000">
        <w:rPr>
          <w:rtl w:val="0"/>
        </w:rPr>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Mental fatigue impairs physical performance in humans. - Bangor University, fecha de acceso: junio 29, 2026, </w:t>
      </w:r>
      <w:hyperlink r:id="rId119">
        <w:r w:rsidDel="00000000" w:rsidR="00000000" w:rsidRPr="00000000">
          <w:rPr>
            <w:rFonts w:ascii="Google Sans" w:cs="Google Sans" w:eastAsia="Google Sans" w:hAnsi="Google Sans"/>
            <w:color w:val="0000ee"/>
            <w:sz w:val="24"/>
            <w:szCs w:val="24"/>
            <w:u w:val="single"/>
            <w:rtl w:val="0"/>
          </w:rPr>
          <w:t xml:space="preserve">https://research.bangor.ac.uk/en/publications/mental-fatigue-impairs-physical-performance-in-humans/</w:t>
        </w:r>
      </w:hyperlink>
      <w:r w:rsidDel="00000000" w:rsidR="00000000" w:rsidRPr="00000000">
        <w:rPr>
          <w:rtl w:val="0"/>
        </w:rPr>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Mental fatigue impairs physical performance in humans - ResearchGate, fecha de acceso: junio 29, 2026, </w:t>
      </w:r>
      <w:hyperlink r:id="rId120">
        <w:r w:rsidDel="00000000" w:rsidR="00000000" w:rsidRPr="00000000">
          <w:rPr>
            <w:rFonts w:ascii="Google Sans" w:cs="Google Sans" w:eastAsia="Google Sans" w:hAnsi="Google Sans"/>
            <w:color w:val="0000ee"/>
            <w:sz w:val="24"/>
            <w:szCs w:val="24"/>
            <w:u w:val="single"/>
            <w:rtl w:val="0"/>
          </w:rPr>
          <w:t xml:space="preserve">https://www.researchgate.net/publication/23766247_Mental_fatigue_impairs_physical_performance_in_humans</w:t>
        </w:r>
      </w:hyperlink>
      <w:r w:rsidDel="00000000" w:rsidR="00000000" w:rsidRPr="00000000">
        <w:rPr>
          <w:rtl w:val="0"/>
        </w:rPr>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‪Samuele Marcora‬ - ‪Google Scholar‬, fecha de acceso: junio 29, 2026, </w:t>
      </w:r>
      <w:hyperlink r:id="rId121">
        <w:r w:rsidDel="00000000" w:rsidR="00000000" w:rsidRPr="00000000">
          <w:rPr>
            <w:rFonts w:ascii="Google Sans" w:cs="Google Sans" w:eastAsia="Google Sans" w:hAnsi="Google Sans"/>
            <w:color w:val="0000ee"/>
            <w:sz w:val="24"/>
            <w:szCs w:val="24"/>
            <w:u w:val="single"/>
            <w:rtl w:val="0"/>
          </w:rPr>
          <w:t xml:space="preserve">https://scholar.google.com/citations?user=6xZXMqAAAAAJ&amp;hl=en</w:t>
        </w:r>
      </w:hyperlink>
      <w:r w:rsidDel="00000000" w:rsidR="00000000" w:rsidRPr="00000000">
        <w:rPr>
          <w:rtl w:val="0"/>
        </w:rPr>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Training Loads and Perceived Stress in Young Elite University Athletes, fecha de acceso: junio 29, 2026, </w:t>
      </w:r>
      <w:hyperlink r:id="rId122">
        <w:r w:rsidDel="00000000" w:rsidR="00000000" w:rsidRPr="00000000">
          <w:rPr>
            <w:rFonts w:ascii="Google Sans" w:cs="Google Sans" w:eastAsia="Google Sans" w:hAnsi="Google Sans"/>
            <w:color w:val="0000ee"/>
            <w:sz w:val="24"/>
            <w:szCs w:val="24"/>
            <w:u w:val="single"/>
            <w:rtl w:val="0"/>
          </w:rPr>
          <w:t xml:space="preserve">https://www.frontiersin.org/journals/physiology/articles/10.3389/fphys.2019.00034/full</w:t>
        </w:r>
      </w:hyperlink>
      <w:r w:rsidDel="00000000" w:rsidR="00000000" w:rsidRPr="00000000">
        <w:rPr>
          <w:rtl w:val="0"/>
        </w:rPr>
      </w:r>
    </w:p>
    <w:p w:rsidR="00000000" w:rsidDel="00000000" w:rsidP="00000000" w:rsidRDefault="00000000" w:rsidRPr="00000000" w14:paraId="000001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Deloading Practices in Strength and Physique Sports: A Cross-sectional Survey - PMC - NIH, fecha de acceso: junio 29, 2026, </w:t>
      </w:r>
      <w:hyperlink r:id="rId123">
        <w:r w:rsidDel="00000000" w:rsidR="00000000" w:rsidRPr="00000000">
          <w:rPr>
            <w:rFonts w:ascii="Google Sans" w:cs="Google Sans" w:eastAsia="Google Sans" w:hAnsi="Google Sans"/>
            <w:color w:val="0000ee"/>
            <w:sz w:val="24"/>
            <w:szCs w:val="24"/>
            <w:u w:val="single"/>
            <w:rtl w:val="0"/>
          </w:rPr>
          <w:t xml:space="preserve">https://pmc.ncbi.nlm.nih.gov/articles/PMC10948666/</w:t>
        </w:r>
      </w:hyperlink>
      <w:r w:rsidDel="00000000" w:rsidR="00000000" w:rsidRPr="00000000">
        <w:rPr>
          <w:rtl w:val="0"/>
        </w:rPr>
      </w:r>
    </w:p>
    <w:p w:rsidR="00000000" w:rsidDel="00000000" w:rsidP="00000000" w:rsidRDefault="00000000" w:rsidRPr="00000000" w14:paraId="000001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Recovery Benefits of Deloading for Athletes by Alex Cassella, fecha de acceso: junio 29, 2026, </w:t>
      </w:r>
      <w:hyperlink r:id="rId124">
        <w:r w:rsidDel="00000000" w:rsidR="00000000" w:rsidRPr="00000000">
          <w:rPr>
            <w:rFonts w:ascii="Google Sans" w:cs="Google Sans" w:eastAsia="Google Sans" w:hAnsi="Google Sans"/>
            <w:color w:val="0000ee"/>
            <w:sz w:val="24"/>
            <w:szCs w:val="24"/>
            <w:u w:val="single"/>
            <w:rtl w:val="0"/>
          </w:rPr>
          <w:t xml:space="preserve">https://www.athleticlab.com/enhanced-recovery-benefits-deloading-athletes-alex-cassella/</w:t>
        </w:r>
      </w:hyperlink>
      <w:r w:rsidDel="00000000" w:rsidR="00000000" w:rsidRPr="00000000">
        <w:rPr>
          <w:rtl w:val="0"/>
        </w:rPr>
      </w:r>
    </w:p>
    <w:p w:rsidR="00000000" w:rsidDel="00000000" w:rsidP="00000000" w:rsidRDefault="00000000" w:rsidRPr="00000000" w14:paraId="000001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Acute:Chronic Workload Ratio - Science for Sport, fecha de acceso: junio 29, 2026, </w:t>
      </w:r>
      <w:hyperlink r:id="rId125">
        <w:r w:rsidDel="00000000" w:rsidR="00000000" w:rsidRPr="00000000">
          <w:rPr>
            <w:rFonts w:ascii="Google Sans" w:cs="Google Sans" w:eastAsia="Google Sans" w:hAnsi="Google Sans"/>
            <w:color w:val="0000ee"/>
            <w:sz w:val="24"/>
            <w:szCs w:val="24"/>
            <w:u w:val="single"/>
            <w:rtl w:val="0"/>
          </w:rPr>
          <w:t xml:space="preserve">https://www.scienceforsport.com/acutechronic-workload-ratio/</w:t>
        </w:r>
      </w:hyperlink>
      <w:r w:rsidDel="00000000" w:rsidR="00000000" w:rsidRPr="00000000">
        <w:rPr>
          <w:rtl w:val="0"/>
        </w:rPr>
      </w:r>
    </w:p>
    <w:p w:rsidR="00000000" w:rsidDel="00000000" w:rsidP="00000000" w:rsidRDefault="00000000" w:rsidRPr="00000000" w14:paraId="000001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 Chronic Workload Ratio: Is there Scientific Evidence? | Frontiers Research Topic, fecha de acceso: junio 29, 2026, </w:t>
      </w:r>
      <w:hyperlink r:id="rId126">
        <w:r w:rsidDel="00000000" w:rsidR="00000000" w:rsidRPr="00000000">
          <w:rPr>
            <w:rFonts w:ascii="Google Sans" w:cs="Google Sans" w:eastAsia="Google Sans" w:hAnsi="Google Sans"/>
            <w:color w:val="0000ee"/>
            <w:sz w:val="24"/>
            <w:szCs w:val="24"/>
            <w:u w:val="single"/>
            <w:rtl w:val="0"/>
          </w:rPr>
          <w:t xml:space="preserve">https://www.frontiersin.org/research-topics/10758/acute-chronic-workload-ratio-is-there-scientific-evidence/magazine</w:t>
        </w:r>
      </w:hyperlink>
      <w:r w:rsidDel="00000000" w:rsidR="00000000" w:rsidRPr="00000000">
        <w:rPr>
          <w:rtl w:val="0"/>
        </w:rPr>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 to chronic workload ratio (ACWR) for predicting sports injury risk: a systematic review and meta-analysis - PMC, fecha de acceso: junio 29, 2026, </w:t>
      </w:r>
      <w:hyperlink r:id="rId127">
        <w:r w:rsidDel="00000000" w:rsidR="00000000" w:rsidRPr="00000000">
          <w:rPr>
            <w:rFonts w:ascii="Google Sans" w:cs="Google Sans" w:eastAsia="Google Sans" w:hAnsi="Google Sans"/>
            <w:color w:val="0000ee"/>
            <w:sz w:val="24"/>
            <w:szCs w:val="24"/>
            <w:u w:val="single"/>
            <w:rtl w:val="0"/>
          </w:rPr>
          <w:t xml:space="preserve">https://pmc.ncbi.nlm.nih.gov/articles/PMC12487117/</w:t>
        </w:r>
      </w:hyperlink>
      <w:r w:rsidDel="00000000" w:rsidR="00000000" w:rsidRPr="00000000">
        <w:rPr>
          <w:rtl w:val="0"/>
        </w:rPr>
      </w:r>
    </w:p>
    <w:p w:rsidR="00000000" w:rsidDel="00000000" w:rsidP="00000000" w:rsidRDefault="00000000" w:rsidRPr="00000000" w14:paraId="000001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the Reverse Acute to Chronic Workload Ratio Model to Improve Movement Capacity and Roster Availability: An Example Using Data from the NFL | International Journal of Strength and Conditioning, fecha de acceso: junio 29, 2026, </w:t>
      </w:r>
      <w:hyperlink r:id="rId128">
        <w:r w:rsidDel="00000000" w:rsidR="00000000" w:rsidRPr="00000000">
          <w:rPr>
            <w:rFonts w:ascii="Google Sans" w:cs="Google Sans" w:eastAsia="Google Sans" w:hAnsi="Google Sans"/>
            <w:color w:val="0000ee"/>
            <w:sz w:val="24"/>
            <w:szCs w:val="24"/>
            <w:u w:val="single"/>
            <w:rtl w:val="0"/>
          </w:rPr>
          <w:t xml:space="preserve">https://journal.iusca.org/index.php/Journal/article/view/425</w:t>
        </w:r>
      </w:hyperlink>
      <w:r w:rsidDel="00000000" w:rsidR="00000000" w:rsidRPr="00000000">
        <w:rPr>
          <w:rtl w:val="0"/>
        </w:rPr>
      </w:r>
    </w:p>
    <w:p w:rsidR="00000000" w:rsidDel="00000000" w:rsidP="00000000" w:rsidRDefault="00000000" w:rsidRPr="00000000" w14:paraId="000001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training—injury prevention paradox: should athletes be training smarter and harder? - British Journal of Sports Medicine, fecha de acceso: junio 29, 2026, </w:t>
      </w:r>
      <w:hyperlink r:id="rId129">
        <w:r w:rsidDel="00000000" w:rsidR="00000000" w:rsidRPr="00000000">
          <w:rPr>
            <w:rFonts w:ascii="Google Sans" w:cs="Google Sans" w:eastAsia="Google Sans" w:hAnsi="Google Sans"/>
            <w:color w:val="0000ee"/>
            <w:sz w:val="24"/>
            <w:szCs w:val="24"/>
            <w:u w:val="single"/>
            <w:rtl w:val="0"/>
          </w:rPr>
          <w:t xml:space="preserve">https://bjsm.bmj.com/content/bjsports/50/5/273.full.pdf</w:t>
        </w:r>
      </w:hyperlink>
      <w:r w:rsidDel="00000000" w:rsidR="00000000" w:rsidRPr="00000000">
        <w:rPr>
          <w:rtl w:val="0"/>
        </w:rPr>
      </w:r>
    </w:p>
    <w:p w:rsidR="00000000" w:rsidDel="00000000" w:rsidP="00000000" w:rsidRDefault="00000000" w:rsidRPr="00000000" w14:paraId="000001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training-injury prevention paradox: should athletes be training smarter and harder? - PubMed, fecha de acceso: junio 29, 2026, </w:t>
      </w:r>
      <w:hyperlink r:id="rId130">
        <w:r w:rsidDel="00000000" w:rsidR="00000000" w:rsidRPr="00000000">
          <w:rPr>
            <w:rFonts w:ascii="Google Sans" w:cs="Google Sans" w:eastAsia="Google Sans" w:hAnsi="Google Sans"/>
            <w:color w:val="0000ee"/>
            <w:sz w:val="24"/>
            <w:szCs w:val="24"/>
            <w:u w:val="single"/>
            <w:rtl w:val="0"/>
          </w:rPr>
          <w:t xml:space="preserve">https://pubmed.ncbi.nlm.nih.gov/26758673/</w:t>
        </w:r>
      </w:hyperlink>
      <w:r w:rsidDel="00000000" w:rsidR="00000000" w:rsidRPr="00000000">
        <w:rPr>
          <w:rtl w:val="0"/>
        </w:rPr>
      </w:r>
    </w:p>
    <w:p w:rsidR="00000000" w:rsidDel="00000000" w:rsidP="00000000" w:rsidRDefault="00000000" w:rsidRPr="00000000" w14:paraId="000001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training—injury prevention paradox: should athletes be training smarter and harder? | British Journal of Sports Medicine, fecha de acceso: junio 29, 2026, </w:t>
      </w:r>
      <w:hyperlink r:id="rId131">
        <w:r w:rsidDel="00000000" w:rsidR="00000000" w:rsidRPr="00000000">
          <w:rPr>
            <w:rFonts w:ascii="Google Sans" w:cs="Google Sans" w:eastAsia="Google Sans" w:hAnsi="Google Sans"/>
            <w:color w:val="0000ee"/>
            <w:sz w:val="24"/>
            <w:szCs w:val="24"/>
            <w:u w:val="single"/>
            <w:rtl w:val="0"/>
          </w:rPr>
          <w:t xml:space="preserve">https://bjsm.bmj.com/content/50/5/273</w:t>
        </w:r>
      </w:hyperlink>
      <w:r w:rsidDel="00000000" w:rsidR="00000000" w:rsidRPr="00000000">
        <w:rPr>
          <w:rtl w:val="0"/>
        </w:rPr>
      </w:r>
    </w:p>
    <w:p w:rsidR="00000000" w:rsidDel="00000000" w:rsidP="00000000" w:rsidRDefault="00000000" w:rsidRPr="00000000" w14:paraId="000001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Editorial: Acute: Chronic Workload Ratio: Is There Scientific Evidence? - PMC, fecha de acceso: junio 29, 2026, </w:t>
      </w:r>
      <w:hyperlink r:id="rId132">
        <w:r w:rsidDel="00000000" w:rsidR="00000000" w:rsidRPr="00000000">
          <w:rPr>
            <w:rFonts w:ascii="Google Sans" w:cs="Google Sans" w:eastAsia="Google Sans" w:hAnsi="Google Sans"/>
            <w:color w:val="0000ee"/>
            <w:sz w:val="24"/>
            <w:szCs w:val="24"/>
            <w:u w:val="single"/>
            <w:rtl w:val="0"/>
          </w:rPr>
          <w:t xml:space="preserve">https://pmc.ncbi.nlm.nih.gov/articles/PMC8138569/</w:t>
        </w:r>
      </w:hyperlink>
      <w:r w:rsidDel="00000000" w:rsidR="00000000" w:rsidRPr="00000000">
        <w:rPr>
          <w:rtl w:val="0"/>
        </w:rPr>
      </w:r>
    </w:p>
    <w:p w:rsidR="00000000" w:rsidDel="00000000" w:rsidP="00000000" w:rsidRDefault="00000000" w:rsidRPr="00000000" w14:paraId="000001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Relationship Between Acute: Chronic Workload Ratios and Injury Risk in Sports: A Systematic Review - PMC, fecha de acceso: junio 29, 2026, </w:t>
      </w:r>
      <w:hyperlink r:id="rId133">
        <w:r w:rsidDel="00000000" w:rsidR="00000000" w:rsidRPr="00000000">
          <w:rPr>
            <w:rFonts w:ascii="Google Sans" w:cs="Google Sans" w:eastAsia="Google Sans" w:hAnsi="Google Sans"/>
            <w:color w:val="0000ee"/>
            <w:sz w:val="24"/>
            <w:szCs w:val="24"/>
            <w:u w:val="single"/>
            <w:rtl w:val="0"/>
          </w:rPr>
          <w:t xml:space="preserve">https://pmc.ncbi.nlm.nih.gov/articles/PMC7047972/</w:t>
        </w:r>
      </w:hyperlink>
      <w:r w:rsidDel="00000000" w:rsidR="00000000" w:rsidRPr="00000000">
        <w:rPr>
          <w:rtl w:val="0"/>
        </w:rPr>
      </w:r>
    </w:p>
    <w:p w:rsidR="00000000" w:rsidDel="00000000" w:rsidP="00000000" w:rsidRDefault="00000000" w:rsidRPr="00000000" w14:paraId="000001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Relationship Between the Acute:Chronic Workload Ratio and Running Parameters in Elite Football Athletes - MDPI, fecha de acceso: junio 29, 2026, </w:t>
      </w:r>
      <w:hyperlink r:id="rId134">
        <w:r w:rsidDel="00000000" w:rsidR="00000000" w:rsidRPr="00000000">
          <w:rPr>
            <w:rFonts w:ascii="Google Sans" w:cs="Google Sans" w:eastAsia="Google Sans" w:hAnsi="Google Sans"/>
            <w:color w:val="0000ee"/>
            <w:sz w:val="24"/>
            <w:szCs w:val="24"/>
            <w:u w:val="single"/>
            <w:rtl w:val="0"/>
          </w:rPr>
          <w:t xml:space="preserve">https://www.mdpi.com/2076-3417/15/3/1659</w:t>
        </w:r>
      </w:hyperlink>
      <w:r w:rsidDel="00000000" w:rsidR="00000000" w:rsidRPr="00000000">
        <w:rPr>
          <w:rtl w:val="0"/>
        </w:rPr>
      </w:r>
    </w:p>
    <w:p w:rsidR="00000000" w:rsidDel="00000000" w:rsidP="00000000" w:rsidRDefault="00000000" w:rsidRPr="00000000" w14:paraId="000001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Acute: Chronic Workload Ratio: A useful tool for monitoring training load – Alan Griffin, fecha de acceso: junio 29, 2026, </w:t>
      </w:r>
      <w:hyperlink r:id="rId135">
        <w:r w:rsidDel="00000000" w:rsidR="00000000" w:rsidRPr="00000000">
          <w:rPr>
            <w:rFonts w:ascii="Google Sans" w:cs="Google Sans" w:eastAsia="Google Sans" w:hAnsi="Google Sans"/>
            <w:color w:val="0000ee"/>
            <w:sz w:val="24"/>
            <w:szCs w:val="24"/>
            <w:u w:val="single"/>
            <w:rtl w:val="0"/>
          </w:rPr>
          <w:t xml:space="preserve">https://pess.blog/2019/10/15/the-acute-chronic-workload-ratio-a-useful-tool-for-monitoring-training-load-alan-griffin/</w:t>
        </w:r>
      </w:hyperlink>
      <w:r w:rsidDel="00000000" w:rsidR="00000000" w:rsidRPr="00000000">
        <w:rPr>
          <w:rtl w:val="0"/>
        </w:rPr>
      </w:r>
    </w:p>
    <w:p w:rsidR="00000000" w:rsidDel="00000000" w:rsidP="00000000" w:rsidRDefault="00000000" w:rsidRPr="00000000" w14:paraId="000001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of the acute:chronic workload ratio and wellness scores in premier league male hockey players - PMC, fecha de acceso: junio 29, 2026, </w:t>
      </w:r>
      <w:hyperlink r:id="rId136">
        <w:r w:rsidDel="00000000" w:rsidR="00000000" w:rsidRPr="00000000">
          <w:rPr>
            <w:rFonts w:ascii="Google Sans" w:cs="Google Sans" w:eastAsia="Google Sans" w:hAnsi="Google Sans"/>
            <w:color w:val="0000ee"/>
            <w:sz w:val="24"/>
            <w:szCs w:val="24"/>
            <w:u w:val="single"/>
            <w:rtl w:val="0"/>
          </w:rPr>
          <w:t xml:space="preserve">https://pmc.ncbi.nlm.nih.gov/articles/PMC9924552/</w:t>
        </w:r>
      </w:hyperlink>
      <w:r w:rsidDel="00000000" w:rsidR="00000000" w:rsidRPr="00000000">
        <w:rPr>
          <w:rtl w:val="0"/>
        </w:rPr>
      </w:r>
    </w:p>
    <w:p w:rsidR="00000000" w:rsidDel="00000000" w:rsidP="00000000" w:rsidRDefault="00000000" w:rsidRPr="00000000" w14:paraId="000001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SM-2 Algorithm Explained: The Science Behind Spaced Repetition - Tegaru, fecha de acceso: junio 29, 2026, </w:t>
      </w:r>
      <w:hyperlink r:id="rId137">
        <w:r w:rsidDel="00000000" w:rsidR="00000000" w:rsidRPr="00000000">
          <w:rPr>
            <w:rFonts w:ascii="Google Sans" w:cs="Google Sans" w:eastAsia="Google Sans" w:hAnsi="Google Sans"/>
            <w:color w:val="0000ee"/>
            <w:sz w:val="24"/>
            <w:szCs w:val="24"/>
            <w:u w:val="single"/>
            <w:rtl w:val="0"/>
          </w:rPr>
          <w:t xml:space="preserve">https://tegaru.app/en/blog/sm2-algorithm-explained</w:t>
        </w:r>
      </w:hyperlink>
      <w:r w:rsidDel="00000000" w:rsidR="00000000" w:rsidRPr="00000000">
        <w:rPr>
          <w:rtl w:val="0"/>
        </w:rPr>
      </w:r>
    </w:p>
    <w:p w:rsidR="00000000" w:rsidDel="00000000" w:rsidP="00000000" w:rsidRDefault="00000000" w:rsidRPr="00000000" w14:paraId="000001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spaced repetition science: How AI Optimizes Your Flashcard Review Schedule, fecha de acceso: junio 29, 2026, </w:t>
      </w:r>
      <w:hyperlink r:id="rId138">
        <w:r w:rsidDel="00000000" w:rsidR="00000000" w:rsidRPr="00000000">
          <w:rPr>
            <w:rFonts w:ascii="Google Sans" w:cs="Google Sans" w:eastAsia="Google Sans" w:hAnsi="Google Sans"/>
            <w:color w:val="0000ee"/>
            <w:sz w:val="24"/>
            <w:szCs w:val="24"/>
            <w:u w:val="single"/>
            <w:rtl w:val="0"/>
          </w:rPr>
          <w:t xml:space="preserve">https://studycardsai.com/blog/spaced-repetition-science-ai-optimization</w:t>
        </w:r>
      </w:hyperlink>
      <w:r w:rsidDel="00000000" w:rsidR="00000000" w:rsidRPr="00000000">
        <w:rPr>
          <w:rtl w:val="0"/>
        </w:rPr>
      </w:r>
    </w:p>
    <w:p w:rsidR="00000000" w:rsidDel="00000000" w:rsidP="00000000" w:rsidRDefault="00000000" w:rsidRPr="00000000" w14:paraId="000001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Topic 3. Nutrition and the brain - INSEP-Éditions - OpenEdition Books, fecha de acceso: junio 29, 2026, </w:t>
      </w:r>
      <w:hyperlink r:id="rId139">
        <w:r w:rsidDel="00000000" w:rsidR="00000000" w:rsidRPr="00000000">
          <w:rPr>
            <w:rFonts w:ascii="Google Sans" w:cs="Google Sans" w:eastAsia="Google Sans" w:hAnsi="Google Sans"/>
            <w:color w:val="0000ee"/>
            <w:sz w:val="24"/>
            <w:szCs w:val="24"/>
            <w:u w:val="single"/>
            <w:rtl w:val="0"/>
          </w:rPr>
          <w:t xml:space="preserve">https://books.openedition.org/insep/1799</w:t>
        </w:r>
      </w:hyperlink>
      <w:r w:rsidDel="00000000" w:rsidR="00000000" w:rsidRPr="00000000">
        <w:rPr>
          <w:rtl w:val="0"/>
        </w:rPr>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EXERCISE, NUTRITION &amp; THE BRAIN, fecha de acceso: junio 29, 2026, </w:t>
      </w:r>
      <w:hyperlink r:id="rId140">
        <w:r w:rsidDel="00000000" w:rsidR="00000000" w:rsidRPr="00000000">
          <w:rPr>
            <w:rFonts w:ascii="Google Sans" w:cs="Google Sans" w:eastAsia="Google Sans" w:hAnsi="Google Sans"/>
            <w:color w:val="0000ee"/>
            <w:sz w:val="24"/>
            <w:szCs w:val="24"/>
            <w:u w:val="single"/>
            <w:rtl w:val="0"/>
          </w:rPr>
          <w:t xml:space="preserve">https://www.gssiweb.org/docs/default-source/sse-docs/sse112_meeusen_sse.pdf?sfvrsn=2</w:t>
        </w:r>
      </w:hyperlink>
      <w:r w:rsidDel="00000000" w:rsidR="00000000" w:rsidRPr="00000000">
        <w:rPr>
          <w:rtl w:val="0"/>
        </w:rPr>
      </w:r>
    </w:p>
    <w:p w:rsidR="00000000" w:rsidDel="00000000" w:rsidP="00000000" w:rsidRDefault="00000000" w:rsidRPr="00000000" w14:paraId="000001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Central fatigue: the serotonin hypothesis and beyond - PubMed, fecha de acceso: junio 29, 2026, </w:t>
      </w:r>
      <w:hyperlink r:id="rId141">
        <w:r w:rsidDel="00000000" w:rsidR="00000000" w:rsidRPr="00000000">
          <w:rPr>
            <w:rFonts w:ascii="Google Sans" w:cs="Google Sans" w:eastAsia="Google Sans" w:hAnsi="Google Sans"/>
            <w:color w:val="0000ee"/>
            <w:sz w:val="24"/>
            <w:szCs w:val="24"/>
            <w:u w:val="single"/>
            <w:rtl w:val="0"/>
          </w:rPr>
          <w:t xml:space="preserve">https://pubmed.ncbi.nlm.nih.gov/17004850/</w:t>
        </w:r>
      </w:hyperlink>
      <w:r w:rsidDel="00000000" w:rsidR="00000000" w:rsidRPr="00000000">
        <w:rPr>
          <w:rtl w:val="0"/>
        </w:rPr>
      </w:r>
    </w:p>
    <w:p w:rsidR="00000000" w:rsidDel="00000000" w:rsidP="00000000" w:rsidRDefault="00000000" w:rsidRPr="00000000" w14:paraId="000001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Alterations in central fatigue by pharmacological manipulations of neurotransmitters in normal and high ambient temperature - PubMed, fecha de acceso: junio 29, 2026, </w:t>
      </w:r>
      <w:hyperlink r:id="rId142">
        <w:r w:rsidDel="00000000" w:rsidR="00000000" w:rsidRPr="00000000">
          <w:rPr>
            <w:rFonts w:ascii="Google Sans" w:cs="Google Sans" w:eastAsia="Google Sans" w:hAnsi="Google Sans"/>
            <w:color w:val="0000ee"/>
            <w:sz w:val="24"/>
            <w:szCs w:val="24"/>
            <w:u w:val="single"/>
            <w:rtl w:val="0"/>
          </w:rPr>
          <w:t xml:space="preserve">https://pubmed.ncbi.nlm.nih.gov/20199121/</w:t>
        </w:r>
      </w:hyperlink>
      <w:r w:rsidDel="00000000" w:rsidR="00000000" w:rsidRPr="00000000">
        <w:rPr>
          <w:rtl w:val="0"/>
        </w:rPr>
      </w:r>
    </w:p>
    <w:p w:rsidR="00000000" w:rsidDel="00000000" w:rsidP="00000000" w:rsidRDefault="00000000" w:rsidRPr="00000000" w14:paraId="000001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Serotonin hypothesis - MEpedia, fecha de acceso: junio 29, 2026, </w:t>
      </w:r>
      <w:hyperlink r:id="rId143">
        <w:r w:rsidDel="00000000" w:rsidR="00000000" w:rsidRPr="00000000">
          <w:rPr>
            <w:rFonts w:ascii="Google Sans" w:cs="Google Sans" w:eastAsia="Google Sans" w:hAnsi="Google Sans"/>
            <w:color w:val="0000ee"/>
            <w:sz w:val="24"/>
            <w:szCs w:val="24"/>
            <w:u w:val="single"/>
            <w:rtl w:val="0"/>
          </w:rPr>
          <w:t xml:space="preserve">https://me-pedia.org/wiki/Serotonin_hypothesis</w:t>
        </w:r>
      </w:hyperlink>
      <w:r w:rsidDel="00000000" w:rsidR="00000000" w:rsidRPr="00000000">
        <w:rPr>
          <w:rtl w:val="0"/>
        </w:rPr>
      </w:r>
    </w:p>
    <w:p w:rsidR="00000000" w:rsidDel="00000000" w:rsidP="00000000" w:rsidRDefault="00000000" w:rsidRPr="00000000" w14:paraId="000001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Central fatigue: the serotonin hypothesis and beyond - ResearchGate, fecha de acceso: junio 29, 2026, </w:t>
      </w:r>
      <w:hyperlink r:id="rId144">
        <w:r w:rsidDel="00000000" w:rsidR="00000000" w:rsidRPr="00000000">
          <w:rPr>
            <w:rFonts w:ascii="Google Sans" w:cs="Google Sans" w:eastAsia="Google Sans" w:hAnsi="Google Sans"/>
            <w:color w:val="0000ee"/>
            <w:sz w:val="24"/>
            <w:szCs w:val="24"/>
            <w:u w:val="single"/>
            <w:rtl w:val="0"/>
          </w:rPr>
          <w:t xml:space="preserve">https://www.researchgate.net/publication/6789461_Central_fatigue_the_serotonin_hypothesis_and_beyond</w:t>
        </w:r>
      </w:hyperlink>
      <w:r w:rsidDel="00000000" w:rsidR="00000000" w:rsidRPr="00000000">
        <w:rPr>
          <w:rtl w:val="0"/>
        </w:rPr>
      </w:r>
    </w:p>
    <w:p w:rsidR="00000000" w:rsidDel="00000000" w:rsidP="00000000" w:rsidRDefault="00000000" w:rsidRPr="00000000" w14:paraId="000001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Anki Backlog Rescue: Settings, Habits, and Filters to Clear Reviews Fast - MemoForge Blog, fecha de acceso: junio 29, 2026, </w:t>
      </w:r>
      <w:hyperlink r:id="rId145">
        <w:r w:rsidDel="00000000" w:rsidR="00000000" w:rsidRPr="00000000">
          <w:rPr>
            <w:rFonts w:ascii="Google Sans" w:cs="Google Sans" w:eastAsia="Google Sans" w:hAnsi="Google Sans"/>
            <w:color w:val="0000ee"/>
            <w:sz w:val="24"/>
            <w:szCs w:val="24"/>
            <w:u w:val="single"/>
            <w:rtl w:val="0"/>
          </w:rPr>
          <w:t xml:space="preserve">https://memoforge.app/blog/beat-anki-overwhelm-settings-habits-clear-backlogs/</w:t>
        </w:r>
      </w:hyperlink>
      <w:r w:rsidDel="00000000" w:rsidR="00000000" w:rsidRPr="00000000">
        <w:rPr>
          <w:rtl w:val="0"/>
        </w:rPr>
      </w:r>
    </w:p>
    <w:p w:rsidR="00000000" w:rsidDel="00000000" w:rsidP="00000000" w:rsidRDefault="00000000" w:rsidRPr="00000000" w14:paraId="000001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FSRS: Serious flaw in benchmarking approach undermines performance claims : r/Anki, fecha de acceso: junio 29, 2026, </w:t>
      </w:r>
      <w:hyperlink r:id="rId146">
        <w:r w:rsidDel="00000000" w:rsidR="00000000" w:rsidRPr="00000000">
          <w:rPr>
            <w:rFonts w:ascii="Google Sans" w:cs="Google Sans" w:eastAsia="Google Sans" w:hAnsi="Google Sans"/>
            <w:color w:val="0000ee"/>
            <w:sz w:val="24"/>
            <w:szCs w:val="24"/>
            <w:u w:val="single"/>
            <w:rtl w:val="0"/>
          </w:rPr>
          <w:t xml:space="preserve">https://www.reddit.com/r/Anki/comments/1o1j93n/fsrs_serious_flaw_in_benchmarking_approach/</w:t>
        </w:r>
      </w:hyperlink>
      <w:r w:rsidDel="00000000" w:rsidR="00000000" w:rsidRPr="00000000">
        <w:rPr>
          <w:rtl w:val="0"/>
        </w:rPr>
      </w:r>
    </w:p>
    <w:p w:rsidR="00000000" w:rsidDel="00000000" w:rsidP="00000000" w:rsidRDefault="00000000" w:rsidRPr="00000000" w14:paraId="000001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Curves in Game Progression | PDF | Exponential Function | Logarithm - Scribd, fecha de acceso: junio 29, 2026, </w:t>
      </w:r>
      <w:hyperlink r:id="rId147">
        <w:r w:rsidDel="00000000" w:rsidR="00000000" w:rsidRPr="00000000">
          <w:rPr>
            <w:rFonts w:ascii="Google Sans" w:cs="Google Sans" w:eastAsia="Google Sans" w:hAnsi="Google Sans"/>
            <w:color w:val="0000ee"/>
            <w:sz w:val="24"/>
            <w:szCs w:val="24"/>
            <w:u w:val="single"/>
            <w:rtl w:val="0"/>
          </w:rPr>
          <w:t xml:space="preserve">https://www.scribd.com/document/706528133/IB-High-Level-Math-A-A-Extended-Essay</w:t>
        </w:r>
      </w:hyperlink>
      <w:r w:rsidDel="00000000" w:rsidR="00000000" w:rsidRPr="00000000">
        <w:rPr>
          <w:rtl w:val="0"/>
        </w:rPr>
      </w:r>
    </w:p>
    <w:p w:rsidR="00000000" w:rsidDel="00000000" w:rsidP="00000000" w:rsidRDefault="00000000" w:rsidRPr="00000000" w14:paraId="000001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Decisions - Machine Learning from Human Preferences, fecha de acceso: junio 29, 2026, </w:t>
      </w:r>
      <w:hyperlink r:id="rId148">
        <w:r w:rsidDel="00000000" w:rsidR="00000000" w:rsidRPr="00000000">
          <w:rPr>
            <w:rFonts w:ascii="Google Sans" w:cs="Google Sans" w:eastAsia="Google Sans" w:hAnsi="Google Sans"/>
            <w:color w:val="0000ee"/>
            <w:sz w:val="24"/>
            <w:szCs w:val="24"/>
            <w:u w:val="single"/>
            <w:rtl w:val="0"/>
          </w:rPr>
          <w:t xml:space="preserve">https://mlhp.stanford.edu/src/chap4.html</w:t>
        </w:r>
      </w:hyperlink>
      <w:r w:rsidDel="00000000" w:rsidR="00000000" w:rsidRPr="00000000">
        <w:rPr>
          <w:rtl w:val="0"/>
        </w:rPr>
      </w:r>
    </w:p>
    <w:p w:rsidR="00000000" w:rsidDel="00000000" w:rsidP="00000000" w:rsidRDefault="00000000" w:rsidRPr="00000000" w14:paraId="000001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Skilling at the gym IRL : r/2007scape - Reddit, fecha de acceso: junio 29, 2026, </w:t>
      </w:r>
      <w:hyperlink r:id="rId149">
        <w:r w:rsidDel="00000000" w:rsidR="00000000" w:rsidRPr="00000000">
          <w:rPr>
            <w:rFonts w:ascii="Google Sans" w:cs="Google Sans" w:eastAsia="Google Sans" w:hAnsi="Google Sans"/>
            <w:color w:val="0000ee"/>
            <w:sz w:val="24"/>
            <w:szCs w:val="24"/>
            <w:u w:val="single"/>
            <w:rtl w:val="0"/>
          </w:rPr>
          <w:t xml:space="preserve">https://www.reddit.com/r/2007scape/comments/1rpreey/skilling_at_the_gym_irl/</w:t>
        </w:r>
      </w:hyperlink>
      <w:r w:rsidDel="00000000" w:rsidR="00000000" w:rsidRPr="00000000">
        <w:rPr>
          <w:rtl w:val="0"/>
        </w:rPr>
      </w:r>
    </w:p>
    <w:p w:rsidR="00000000" w:rsidDel="00000000" w:rsidP="00000000" w:rsidRDefault="00000000" w:rsidRPr="00000000" w14:paraId="000001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high can attributes go? : r/RPGdesign - Reddit, fecha de acceso: junio 29, 2026, </w:t>
      </w:r>
      <w:hyperlink r:id="rId150">
        <w:r w:rsidDel="00000000" w:rsidR="00000000" w:rsidRPr="00000000">
          <w:rPr>
            <w:rFonts w:ascii="Google Sans" w:cs="Google Sans" w:eastAsia="Google Sans" w:hAnsi="Google Sans"/>
            <w:color w:val="0000ee"/>
            <w:sz w:val="24"/>
            <w:szCs w:val="24"/>
            <w:u w:val="single"/>
            <w:rtl w:val="0"/>
          </w:rPr>
          <w:t xml:space="preserve">https://www.reddit.com/r/RPGdesign/comments/1mk4vkr/how_high_can_attributes_go/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17.png"/><Relationship Id="rId41" Type="http://schemas.openxmlformats.org/officeDocument/2006/relationships/image" Target="media/image24.png"/><Relationship Id="rId44" Type="http://schemas.openxmlformats.org/officeDocument/2006/relationships/image" Target="media/image3.png"/><Relationship Id="rId43" Type="http://schemas.openxmlformats.org/officeDocument/2006/relationships/image" Target="media/image26.png"/><Relationship Id="rId46" Type="http://schemas.openxmlformats.org/officeDocument/2006/relationships/image" Target="media/image27.png"/><Relationship Id="rId45" Type="http://schemas.openxmlformats.org/officeDocument/2006/relationships/image" Target="media/image29.png"/><Relationship Id="rId107" Type="http://schemas.openxmlformats.org/officeDocument/2006/relationships/hyperlink" Target="https://www.frontiersin.org/journals/neuroscience/articles/10.3389/fnins.2015.00289/pdf" TargetMode="External"/><Relationship Id="rId106" Type="http://schemas.openxmlformats.org/officeDocument/2006/relationships/hyperlink" Target="https://pmc.ncbi.nlm.nih.gov/articles/PMC5559350/" TargetMode="External"/><Relationship Id="rId105" Type="http://schemas.openxmlformats.org/officeDocument/2006/relationships/hyperlink" Target="https://pmc.ncbi.nlm.nih.gov/articles/PMC12158062/" TargetMode="External"/><Relationship Id="rId104" Type="http://schemas.openxmlformats.org/officeDocument/2006/relationships/hyperlink" Target="http://clinmedjournals.org/articles/ijsem/international-journal-of-sports-and-exercise-medicine-ijsem-2-040.php?jid=ijsem" TargetMode="External"/><Relationship Id="rId109" Type="http://schemas.openxmlformats.org/officeDocument/2006/relationships/hyperlink" Target="https://pmc.ncbi.nlm.nih.gov/articles/PMC12513898/" TargetMode="External"/><Relationship Id="rId108" Type="http://schemas.openxmlformats.org/officeDocument/2006/relationships/hyperlink" Target="https://pmc.ncbi.nlm.nih.gov/articles/PMC11165150/" TargetMode="External"/><Relationship Id="rId48" Type="http://schemas.openxmlformats.org/officeDocument/2006/relationships/image" Target="media/image23.png"/><Relationship Id="rId47" Type="http://schemas.openxmlformats.org/officeDocument/2006/relationships/image" Target="media/image47.png"/><Relationship Id="rId49" Type="http://schemas.openxmlformats.org/officeDocument/2006/relationships/image" Target="media/image87.png"/><Relationship Id="rId103" Type="http://schemas.openxmlformats.org/officeDocument/2006/relationships/hyperlink" Target="https://learn.athleanx.com/calculators/tdee-calculator" TargetMode="External"/><Relationship Id="rId102" Type="http://schemas.openxmlformats.org/officeDocument/2006/relationships/hyperlink" Target="https://saalck.pressbooks.pub/physioex/chapter/chapter-6-measuring-human-energy-expenditure-work-and-pow/" TargetMode="External"/><Relationship Id="rId101" Type="http://schemas.openxmlformats.org/officeDocument/2006/relationships/hyperlink" Target="http://www.carnotdiet.com/Files/BMRMifflin1990.pdf" TargetMode="External"/><Relationship Id="rId100" Type="http://schemas.openxmlformats.org/officeDocument/2006/relationships/hyperlink" Target="https://www.semanticscholar.org/paper/A-new-predictive-equation-for-resting-energy-in-Mifflin-Jeor/063d9aed743d8b00508d76265a96348ed44cb9cf" TargetMode="External"/><Relationship Id="rId31" Type="http://schemas.openxmlformats.org/officeDocument/2006/relationships/image" Target="media/image55.png"/><Relationship Id="rId30" Type="http://schemas.openxmlformats.org/officeDocument/2006/relationships/image" Target="media/image63.png"/><Relationship Id="rId33" Type="http://schemas.openxmlformats.org/officeDocument/2006/relationships/image" Target="media/image10.png"/><Relationship Id="rId32" Type="http://schemas.openxmlformats.org/officeDocument/2006/relationships/image" Target="media/image51.png"/><Relationship Id="rId35" Type="http://schemas.openxmlformats.org/officeDocument/2006/relationships/image" Target="media/image15.png"/><Relationship Id="rId34" Type="http://schemas.openxmlformats.org/officeDocument/2006/relationships/image" Target="media/image20.png"/><Relationship Id="rId37" Type="http://schemas.openxmlformats.org/officeDocument/2006/relationships/image" Target="media/image8.png"/><Relationship Id="rId36" Type="http://schemas.openxmlformats.org/officeDocument/2006/relationships/image" Target="media/image12.png"/><Relationship Id="rId39" Type="http://schemas.openxmlformats.org/officeDocument/2006/relationships/image" Target="media/image73.png"/><Relationship Id="rId38" Type="http://schemas.openxmlformats.org/officeDocument/2006/relationships/image" Target="media/image6.png"/><Relationship Id="rId20" Type="http://schemas.openxmlformats.org/officeDocument/2006/relationships/image" Target="media/image70.png"/><Relationship Id="rId22" Type="http://schemas.openxmlformats.org/officeDocument/2006/relationships/image" Target="media/image4.png"/><Relationship Id="rId21" Type="http://schemas.openxmlformats.org/officeDocument/2006/relationships/image" Target="media/image77.png"/><Relationship Id="rId24" Type="http://schemas.openxmlformats.org/officeDocument/2006/relationships/image" Target="media/image58.png"/><Relationship Id="rId23" Type="http://schemas.openxmlformats.org/officeDocument/2006/relationships/image" Target="media/image76.png"/><Relationship Id="rId129" Type="http://schemas.openxmlformats.org/officeDocument/2006/relationships/hyperlink" Target="https://bjsm.bmj.com/content/bjsports/50/5/273.full.pdf" TargetMode="External"/><Relationship Id="rId128" Type="http://schemas.openxmlformats.org/officeDocument/2006/relationships/hyperlink" Target="https://journal.iusca.org/index.php/Journal/article/view/425" TargetMode="External"/><Relationship Id="rId127" Type="http://schemas.openxmlformats.org/officeDocument/2006/relationships/hyperlink" Target="https://pmc.ncbi.nlm.nih.gov/articles/PMC12487117/" TargetMode="External"/><Relationship Id="rId126" Type="http://schemas.openxmlformats.org/officeDocument/2006/relationships/hyperlink" Target="https://www.frontiersin.org/research-topics/10758/acute-chronic-workload-ratio-is-there-scientific-evidence/magazine" TargetMode="External"/><Relationship Id="rId26" Type="http://schemas.openxmlformats.org/officeDocument/2006/relationships/image" Target="media/image49.png"/><Relationship Id="rId121" Type="http://schemas.openxmlformats.org/officeDocument/2006/relationships/hyperlink" Target="https://scholar.google.com/citations?user=6xZXMqAAAAAJ&amp;hl=en" TargetMode="External"/><Relationship Id="rId25" Type="http://schemas.openxmlformats.org/officeDocument/2006/relationships/image" Target="media/image44.png"/><Relationship Id="rId120" Type="http://schemas.openxmlformats.org/officeDocument/2006/relationships/hyperlink" Target="https://www.researchgate.net/publication/23766247_Mental_fatigue_impairs_physical_performance_in_humans" TargetMode="External"/><Relationship Id="rId28" Type="http://schemas.openxmlformats.org/officeDocument/2006/relationships/image" Target="media/image86.png"/><Relationship Id="rId27" Type="http://schemas.openxmlformats.org/officeDocument/2006/relationships/image" Target="media/image7.png"/><Relationship Id="rId125" Type="http://schemas.openxmlformats.org/officeDocument/2006/relationships/hyperlink" Target="https://www.scienceforsport.com/acutechronic-workload-ratio/" TargetMode="External"/><Relationship Id="rId29" Type="http://schemas.openxmlformats.org/officeDocument/2006/relationships/image" Target="media/image59.png"/><Relationship Id="rId124" Type="http://schemas.openxmlformats.org/officeDocument/2006/relationships/hyperlink" Target="https://www.athleticlab.com/enhanced-recovery-benefits-deloading-athletes-alex-cassella/" TargetMode="External"/><Relationship Id="rId123" Type="http://schemas.openxmlformats.org/officeDocument/2006/relationships/hyperlink" Target="https://pmc.ncbi.nlm.nih.gov/articles/PMC10948666/" TargetMode="External"/><Relationship Id="rId122" Type="http://schemas.openxmlformats.org/officeDocument/2006/relationships/hyperlink" Target="https://www.frontiersin.org/journals/physiology/articles/10.3389/fphys.2019.00034/full" TargetMode="External"/><Relationship Id="rId95" Type="http://schemas.openxmlformats.org/officeDocument/2006/relationships/hyperlink" Target="https://pacompendium.com/" TargetMode="External"/><Relationship Id="rId94" Type="http://schemas.openxmlformats.org/officeDocument/2006/relationships/hyperlink" Target="https://sites.google.com/site/compendiumofphysicalactivities/corrected-mets" TargetMode="External"/><Relationship Id="rId97" Type="http://schemas.openxmlformats.org/officeDocument/2006/relationships/hyperlink" Target="https://cdn-links.lww.com/permalink/mss/a/mss_43_8_2011_06_13_ainsworth_202093_sdc1.pdf" TargetMode="External"/><Relationship Id="rId96" Type="http://schemas.openxmlformats.org/officeDocument/2006/relationships/hyperlink" Target="https://pmc.ncbi.nlm.nih.gov/articles/PMC10818145/" TargetMode="External"/><Relationship Id="rId11" Type="http://schemas.openxmlformats.org/officeDocument/2006/relationships/image" Target="media/image69.png"/><Relationship Id="rId99" Type="http://schemas.openxmlformats.org/officeDocument/2006/relationships/hyperlink" Target="https://pubmed.ncbi.nlm.nih.gov/2305711/" TargetMode="External"/><Relationship Id="rId10" Type="http://schemas.openxmlformats.org/officeDocument/2006/relationships/image" Target="media/image64.png"/><Relationship Id="rId98" Type="http://schemas.openxmlformats.org/officeDocument/2006/relationships/hyperlink" Target="https://www.merckmanuals.com/professional/nutritional-disorders/nutritional-support/overview-of-nutritional-support" TargetMode="External"/><Relationship Id="rId13" Type="http://schemas.openxmlformats.org/officeDocument/2006/relationships/image" Target="media/image82.png"/><Relationship Id="rId12" Type="http://schemas.openxmlformats.org/officeDocument/2006/relationships/image" Target="media/image72.png"/><Relationship Id="rId91" Type="http://schemas.openxmlformats.org/officeDocument/2006/relationships/image" Target="media/image14.png"/><Relationship Id="rId90" Type="http://schemas.openxmlformats.org/officeDocument/2006/relationships/image" Target="media/image5.png"/><Relationship Id="rId93" Type="http://schemas.openxmlformats.org/officeDocument/2006/relationships/image" Target="media/image11.png"/><Relationship Id="rId92" Type="http://schemas.openxmlformats.org/officeDocument/2006/relationships/image" Target="media/image9.png"/><Relationship Id="rId118" Type="http://schemas.openxmlformats.org/officeDocument/2006/relationships/hyperlink" Target="https://pubmed.ncbi.nlm.nih.gov/19131473/" TargetMode="External"/><Relationship Id="rId117" Type="http://schemas.openxmlformats.org/officeDocument/2006/relationships/hyperlink" Target="https://pmc.ncbi.nlm.nih.gov/articles/PMC2564297/" TargetMode="External"/><Relationship Id="rId116" Type="http://schemas.openxmlformats.org/officeDocument/2006/relationships/hyperlink" Target="https://pressbooks.calstate.edu/humanneuromechanics/chapter/central-governor-and-fatigue/" TargetMode="External"/><Relationship Id="rId115" Type="http://schemas.openxmlformats.org/officeDocument/2006/relationships/hyperlink" Target="https://www.polar.com/en/journal/central-governor-theory" TargetMode="External"/><Relationship Id="rId119" Type="http://schemas.openxmlformats.org/officeDocument/2006/relationships/hyperlink" Target="https://research.bangor.ac.uk/en/publications/mental-fatigue-impairs-physical-performance-in-humans/" TargetMode="External"/><Relationship Id="rId15" Type="http://schemas.openxmlformats.org/officeDocument/2006/relationships/image" Target="media/image88.png"/><Relationship Id="rId110" Type="http://schemas.openxmlformats.org/officeDocument/2006/relationships/hyperlink" Target="https://eprints.whiterose.ac.uk/id/eprint/201280/1/Predicting%20Human-Robot%20Team%20Performance%20Based%20on%20Cognitive%20Fatigue.pdf" TargetMode="External"/><Relationship Id="rId14" Type="http://schemas.openxmlformats.org/officeDocument/2006/relationships/image" Target="media/image61.png"/><Relationship Id="rId17" Type="http://schemas.openxmlformats.org/officeDocument/2006/relationships/image" Target="media/image83.png"/><Relationship Id="rId16" Type="http://schemas.openxmlformats.org/officeDocument/2006/relationships/image" Target="media/image68.png"/><Relationship Id="rId19" Type="http://schemas.openxmlformats.org/officeDocument/2006/relationships/image" Target="media/image71.png"/><Relationship Id="rId114" Type="http://schemas.openxmlformats.org/officeDocument/2006/relationships/hyperlink" Target="https://pmc.ncbi.nlm.nih.gov/articles/PMC4854881/#:~:text=Trying%20to%20explain%20how%20and,ultimately%2C%20to%20prevent%20homeostatic%20breakdown%2C" TargetMode="External"/><Relationship Id="rId18" Type="http://schemas.openxmlformats.org/officeDocument/2006/relationships/image" Target="media/image84.png"/><Relationship Id="rId113" Type="http://schemas.openxmlformats.org/officeDocument/2006/relationships/hyperlink" Target="https://www.stevhliu.com/2025/hf-universe" TargetMode="External"/><Relationship Id="rId112" Type="http://schemas.openxmlformats.org/officeDocument/2006/relationships/hyperlink" Target="https://lifetips.alibaba.com/tech-efficiency/keep-yourself-on-task-by-checking-in-with-maesure" TargetMode="External"/><Relationship Id="rId111" Type="http://schemas.openxmlformats.org/officeDocument/2006/relationships/hyperlink" Target="https://pmc.ncbi.nlm.nih.gov/articles/PMC12827614/" TargetMode="External"/><Relationship Id="rId84" Type="http://schemas.openxmlformats.org/officeDocument/2006/relationships/image" Target="media/image62.png"/><Relationship Id="rId83" Type="http://schemas.openxmlformats.org/officeDocument/2006/relationships/image" Target="media/image56.png"/><Relationship Id="rId86" Type="http://schemas.openxmlformats.org/officeDocument/2006/relationships/image" Target="media/image85.png"/><Relationship Id="rId85" Type="http://schemas.openxmlformats.org/officeDocument/2006/relationships/image" Target="media/image60.png"/><Relationship Id="rId88" Type="http://schemas.openxmlformats.org/officeDocument/2006/relationships/image" Target="media/image80.png"/><Relationship Id="rId150" Type="http://schemas.openxmlformats.org/officeDocument/2006/relationships/hyperlink" Target="https://www.reddit.com/r/RPGdesign/comments/1mk4vkr/how_high_can_attributes_go/" TargetMode="External"/><Relationship Id="rId87" Type="http://schemas.openxmlformats.org/officeDocument/2006/relationships/image" Target="media/image79.png"/><Relationship Id="rId89" Type="http://schemas.openxmlformats.org/officeDocument/2006/relationships/image" Target="media/image2.png"/><Relationship Id="rId80" Type="http://schemas.openxmlformats.org/officeDocument/2006/relationships/image" Target="media/image57.png"/><Relationship Id="rId82" Type="http://schemas.openxmlformats.org/officeDocument/2006/relationships/image" Target="media/image46.png"/><Relationship Id="rId81"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reddit.com/r/2007scape/comments/1rpreey/skilling_at_the_gym_irl/" TargetMode="External"/><Relationship Id="rId4" Type="http://schemas.openxmlformats.org/officeDocument/2006/relationships/numbering" Target="numbering.xml"/><Relationship Id="rId148" Type="http://schemas.openxmlformats.org/officeDocument/2006/relationships/hyperlink" Target="https://mlhp.stanford.edu/src/chap4.html" TargetMode="External"/><Relationship Id="rId9" Type="http://schemas.openxmlformats.org/officeDocument/2006/relationships/image" Target="media/image67.png"/><Relationship Id="rId143" Type="http://schemas.openxmlformats.org/officeDocument/2006/relationships/hyperlink" Target="https://me-pedia.org/wiki/Serotonin_hypothesis" TargetMode="External"/><Relationship Id="rId142" Type="http://schemas.openxmlformats.org/officeDocument/2006/relationships/hyperlink" Target="https://pubmed.ncbi.nlm.nih.gov/20199121/" TargetMode="External"/><Relationship Id="rId141" Type="http://schemas.openxmlformats.org/officeDocument/2006/relationships/hyperlink" Target="https://pubmed.ncbi.nlm.nih.gov/17004850/" TargetMode="External"/><Relationship Id="rId140" Type="http://schemas.openxmlformats.org/officeDocument/2006/relationships/hyperlink" Target="https://www.gssiweb.org/docs/default-source/sse-docs/sse112_meeusen_sse.pdf?sfvrsn=2" TargetMode="External"/><Relationship Id="rId5" Type="http://schemas.openxmlformats.org/officeDocument/2006/relationships/styles" Target="styles.xml"/><Relationship Id="rId147" Type="http://schemas.openxmlformats.org/officeDocument/2006/relationships/hyperlink" Target="https://www.scribd.com/document/706528133/IB-High-Level-Math-A-A-Extended-Essay" TargetMode="External"/><Relationship Id="rId6" Type="http://schemas.openxmlformats.org/officeDocument/2006/relationships/image" Target="media/image78.png"/><Relationship Id="rId146" Type="http://schemas.openxmlformats.org/officeDocument/2006/relationships/hyperlink" Target="https://www.reddit.com/r/Anki/comments/1o1j93n/fsrs_serious_flaw_in_benchmarking_approach/" TargetMode="External"/><Relationship Id="rId7" Type="http://schemas.openxmlformats.org/officeDocument/2006/relationships/image" Target="media/image54.png"/><Relationship Id="rId145" Type="http://schemas.openxmlformats.org/officeDocument/2006/relationships/hyperlink" Target="https://memoforge.app/blog/beat-anki-overwhelm-settings-habits-clear-backlogs/" TargetMode="External"/><Relationship Id="rId8" Type="http://schemas.openxmlformats.org/officeDocument/2006/relationships/image" Target="media/image50.png"/><Relationship Id="rId144" Type="http://schemas.openxmlformats.org/officeDocument/2006/relationships/hyperlink" Target="https://www.researchgate.net/publication/6789461_Central_fatigue_the_serotonin_hypothesis_and_beyond" TargetMode="External"/><Relationship Id="rId73" Type="http://schemas.openxmlformats.org/officeDocument/2006/relationships/image" Target="media/image75.png"/><Relationship Id="rId72" Type="http://schemas.openxmlformats.org/officeDocument/2006/relationships/image" Target="media/image43.png"/><Relationship Id="rId75" Type="http://schemas.openxmlformats.org/officeDocument/2006/relationships/image" Target="media/image33.png"/><Relationship Id="rId74" Type="http://schemas.openxmlformats.org/officeDocument/2006/relationships/image" Target="media/image52.png"/><Relationship Id="rId77" Type="http://schemas.openxmlformats.org/officeDocument/2006/relationships/image" Target="media/image39.png"/><Relationship Id="rId76" Type="http://schemas.openxmlformats.org/officeDocument/2006/relationships/image" Target="media/image40.png"/><Relationship Id="rId79" Type="http://schemas.openxmlformats.org/officeDocument/2006/relationships/image" Target="media/image38.png"/><Relationship Id="rId78" Type="http://schemas.openxmlformats.org/officeDocument/2006/relationships/image" Target="media/image36.png"/><Relationship Id="rId71" Type="http://schemas.openxmlformats.org/officeDocument/2006/relationships/image" Target="media/image41.png"/><Relationship Id="rId70" Type="http://schemas.openxmlformats.org/officeDocument/2006/relationships/image" Target="media/image45.png"/><Relationship Id="rId139" Type="http://schemas.openxmlformats.org/officeDocument/2006/relationships/hyperlink" Target="https://books.openedition.org/insep/1799" TargetMode="External"/><Relationship Id="rId138" Type="http://schemas.openxmlformats.org/officeDocument/2006/relationships/hyperlink" Target="https://studycardsai.com/blog/spaced-repetition-science-ai-optimization" TargetMode="External"/><Relationship Id="rId137" Type="http://schemas.openxmlformats.org/officeDocument/2006/relationships/hyperlink" Target="https://tegaru.app/en/blog/sm2-algorithm-explained" TargetMode="External"/><Relationship Id="rId132" Type="http://schemas.openxmlformats.org/officeDocument/2006/relationships/hyperlink" Target="https://pmc.ncbi.nlm.nih.gov/articles/PMC8138569/" TargetMode="External"/><Relationship Id="rId131" Type="http://schemas.openxmlformats.org/officeDocument/2006/relationships/hyperlink" Target="https://bjsm.bmj.com/content/50/5/273" TargetMode="External"/><Relationship Id="rId130" Type="http://schemas.openxmlformats.org/officeDocument/2006/relationships/hyperlink" Target="https://pubmed.ncbi.nlm.nih.gov/26758673/" TargetMode="External"/><Relationship Id="rId136" Type="http://schemas.openxmlformats.org/officeDocument/2006/relationships/hyperlink" Target="https://pmc.ncbi.nlm.nih.gov/articles/PMC9924552/" TargetMode="External"/><Relationship Id="rId135" Type="http://schemas.openxmlformats.org/officeDocument/2006/relationships/hyperlink" Target="https://pess.blog/2019/10/15/the-acute-chronic-workload-ratio-a-useful-tool-for-monitoring-training-load-alan-griffin/" TargetMode="External"/><Relationship Id="rId134" Type="http://schemas.openxmlformats.org/officeDocument/2006/relationships/hyperlink" Target="https://www.mdpi.com/2076-3417/15/3/1659" TargetMode="External"/><Relationship Id="rId133" Type="http://schemas.openxmlformats.org/officeDocument/2006/relationships/hyperlink" Target="https://pmc.ncbi.nlm.nih.gov/articles/PMC7047972/" TargetMode="External"/><Relationship Id="rId62" Type="http://schemas.openxmlformats.org/officeDocument/2006/relationships/image" Target="media/image18.png"/><Relationship Id="rId61" Type="http://schemas.openxmlformats.org/officeDocument/2006/relationships/image" Target="media/image21.png"/><Relationship Id="rId64" Type="http://schemas.openxmlformats.org/officeDocument/2006/relationships/image" Target="media/image66.png"/><Relationship Id="rId63" Type="http://schemas.openxmlformats.org/officeDocument/2006/relationships/image" Target="media/image13.png"/><Relationship Id="rId66" Type="http://schemas.openxmlformats.org/officeDocument/2006/relationships/image" Target="media/image65.png"/><Relationship Id="rId65" Type="http://schemas.openxmlformats.org/officeDocument/2006/relationships/image" Target="media/image74.png"/><Relationship Id="rId68" Type="http://schemas.openxmlformats.org/officeDocument/2006/relationships/image" Target="media/image53.png"/><Relationship Id="rId67" Type="http://schemas.openxmlformats.org/officeDocument/2006/relationships/image" Target="media/image81.png"/><Relationship Id="rId60" Type="http://schemas.openxmlformats.org/officeDocument/2006/relationships/image" Target="media/image37.png"/><Relationship Id="rId69" Type="http://schemas.openxmlformats.org/officeDocument/2006/relationships/image" Target="media/image42.png"/><Relationship Id="rId51" Type="http://schemas.openxmlformats.org/officeDocument/2006/relationships/image" Target="media/image35.png"/><Relationship Id="rId50" Type="http://schemas.openxmlformats.org/officeDocument/2006/relationships/image" Target="media/image25.png"/><Relationship Id="rId53" Type="http://schemas.openxmlformats.org/officeDocument/2006/relationships/image" Target="media/image28.png"/><Relationship Id="rId52" Type="http://schemas.openxmlformats.org/officeDocument/2006/relationships/image" Target="media/image31.png"/><Relationship Id="rId55" Type="http://schemas.openxmlformats.org/officeDocument/2006/relationships/image" Target="media/image22.png"/><Relationship Id="rId54" Type="http://schemas.openxmlformats.org/officeDocument/2006/relationships/image" Target="media/image48.png"/><Relationship Id="rId57" Type="http://schemas.openxmlformats.org/officeDocument/2006/relationships/image" Target="media/image16.png"/><Relationship Id="rId56" Type="http://schemas.openxmlformats.org/officeDocument/2006/relationships/image" Target="media/image34.png"/><Relationship Id="rId59" Type="http://schemas.openxmlformats.org/officeDocument/2006/relationships/image" Target="media/image32.png"/><Relationship Id="rId5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