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8"/>
        </w:rPr>
        <w:t>NONPROVISIONAL UTILITY PATENT APPLICATION</w:t>
      </w:r>
    </w:p>
    <w:p/>
    <w:p>
      <w:r>
        <w:rPr>
          <w:rFonts w:ascii="Times New Roman" w:hAnsi="Times New Roman"/>
          <w:b/>
          <w:i w:val="0"/>
          <w:sz w:val="24"/>
        </w:rPr>
        <w:t>Title of Invention: Systems and Methods for Runtime Trust-Based Authority Governance in Autonomous Systems with Neural Trust Inference and Tamper-Evident Audit</w:t>
      </w:r>
    </w:p>
    <w:p/>
    <w:p>
      <w:r>
        <w:rPr>
          <w:rFonts w:ascii="Times New Roman" w:hAnsi="Times New Roman"/>
          <w:b w:val="0"/>
          <w:i w:val="0"/>
          <w:sz w:val="24"/>
        </w:rPr>
        <w:t>Applicant: The Wayfinder Trust</w:t>
      </w:r>
    </w:p>
    <w:p>
      <w:r>
        <w:rPr>
          <w:rFonts w:ascii="Times New Roman" w:hAnsi="Times New Roman"/>
          <w:b w:val="0"/>
          <w:i w:val="0"/>
          <w:sz w:val="24"/>
        </w:rPr>
        <w:t>Inventor: Jonathan Luethke</w:t>
      </w:r>
    </w:p>
    <w:p>
      <w:r>
        <w:rPr>
          <w:rFonts w:ascii="Times New Roman" w:hAnsi="Times New Roman"/>
          <w:b w:val="0"/>
          <w:i w:val="0"/>
          <w:sz w:val="24"/>
        </w:rPr>
        <w:t>Total Number of Drawing Sheets: 9</w:t>
      </w:r>
    </w:p>
    <w:p>
      <w:r>
        <w:rPr>
          <w:rFonts w:ascii="Times New Roman" w:hAnsi="Times New Roman"/>
          <w:b w:val="0"/>
          <w:i w:val="0"/>
          <w:sz w:val="24"/>
        </w:rPr>
        <w:t>Total Number of Claims: See Claims section</w:t>
      </w:r>
    </w:p>
    <w:p>
      <w:r>
        <w:br w:type="page"/>
      </w:r>
    </w:p>
    <w:p>
      <w:pPr>
        <w:pStyle w:val="Heading1"/>
      </w:pPr>
      <w:r>
        <w:rPr>
          <w:rFonts w:ascii="Times New Roman" w:hAnsi="Times New Roman"/>
        </w:rPr>
        <w:t>FIELD OF THE INVENTION</w:t>
      </w:r>
    </w:p>
    <w:p>
      <w:r>
        <w:rPr>
          <w:rFonts w:ascii="Times New Roman" w:hAnsi="Times New Roman"/>
          <w:b w:val="0"/>
          <w:sz w:val="24"/>
        </w:rPr>
        <w:t xml:space="preserve">[0001]  </w:t>
      </w:r>
      <w:r>
        <w:rPr>
          <w:rFonts w:ascii="Times New Roman" w:hAnsi="Times New Roman"/>
          <w:b w:val="0"/>
          <w:i w:val="0"/>
          <w:sz w:val="24"/>
        </w:rPr>
        <w:t>The present invention relates to safety systems for autonomous and semi-autonomous machines, and more particularly to runtime supervision of learned or algorithmic controllers by enforcing bounded control authority based on measured divergence between expected and observed system behavior, neural trust inference with multi-head classification, controller-agnostic constraint enforcement, and cryptographically auditable governance decisions.</w:t>
        <w:br/>
        <w:br/>
        <w:t>---</w:t>
      </w:r>
    </w:p>
    <w:p/>
    <w:p>
      <w:pPr>
        <w:pStyle w:val="Heading1"/>
      </w:pPr>
      <w:r>
        <w:rPr>
          <w:rFonts w:ascii="Times New Roman" w:hAnsi="Times New Roman"/>
        </w:rPr>
        <w:t>BACKGROUND OF THE INVENTION</w:t>
      </w:r>
    </w:p>
    <w:p>
      <w:r>
        <w:rPr>
          <w:rFonts w:ascii="Times New Roman" w:hAnsi="Times New Roman"/>
          <w:sz w:val="24"/>
        </w:rPr>
        <w:t xml:space="preserve">[0002]  </w:t>
      </w:r>
      <w:r>
        <w:rPr>
          <w:rFonts w:ascii="Times New Roman" w:hAnsi="Times New Roman"/>
          <w:sz w:val="24"/>
        </w:rPr>
        <w:t>Autonomous and AI-controlled systems are increasingly deployed in safety-critical domains such as vehicles, robotics, industrial automation, and algorithmic decision systems. These systems rely on controllers or learned models trained under assumptions about operating conditions. In practice, real-world conditions diverge from training data and internal models, leading to unsafe control outputs.</w:t>
      </w:r>
    </w:p>
    <w:p>
      <w:r>
        <w:rPr>
          <w:rFonts w:ascii="Times New Roman" w:hAnsi="Times New Roman"/>
          <w:sz w:val="24"/>
        </w:rPr>
        <w:t xml:space="preserve">[0003]  </w:t>
      </w:r>
      <w:r>
        <w:rPr>
          <w:rFonts w:ascii="Times New Roman" w:hAnsi="Times New Roman"/>
          <w:sz w:val="24"/>
        </w:rPr>
        <w:t>Existing approaches rely on:</w:t>
      </w:r>
    </w:p>
    <w:p>
      <w:pPr>
        <w:pStyle w:val="ListBullet"/>
      </w:pPr>
      <w:r>
        <w:rPr>
          <w:rFonts w:ascii="Times New Roman" w:hAnsi="Times New Roman"/>
          <w:sz w:val="24"/>
        </w:rPr>
        <w:t>Offline validation</w:t>
      </w:r>
    </w:p>
    <w:p>
      <w:pPr>
        <w:pStyle w:val="ListBullet"/>
      </w:pPr>
      <w:r>
        <w:rPr>
          <w:rFonts w:ascii="Times New Roman" w:hAnsi="Times New Roman"/>
          <w:sz w:val="24"/>
        </w:rPr>
        <w:t>Redundant perception</w:t>
      </w:r>
    </w:p>
    <w:p>
      <w:pPr>
        <w:pStyle w:val="ListBullet"/>
      </w:pPr>
      <w:r>
        <w:rPr>
          <w:rFonts w:ascii="Times New Roman" w:hAnsi="Times New Roman"/>
          <w:sz w:val="24"/>
        </w:rPr>
        <w:t>Rule-based safety envelopes</w:t>
      </w:r>
    </w:p>
    <w:p>
      <w:pPr>
        <w:pStyle w:val="ListBullet"/>
      </w:pPr>
      <w:r>
        <w:rPr>
          <w:rFonts w:ascii="Times New Roman" w:hAnsi="Times New Roman"/>
          <w:sz w:val="24"/>
        </w:rPr>
        <w:t>Static safety constraints</w:t>
      </w:r>
    </w:p>
    <w:p>
      <w:r>
        <w:rPr>
          <w:rFonts w:ascii="Times New Roman" w:hAnsi="Times New Roman"/>
          <w:sz w:val="24"/>
        </w:rPr>
        <w:t xml:space="preserve">[0004]  </w:t>
      </w:r>
      <w:r>
        <w:rPr>
          <w:rFonts w:ascii="Times New Roman" w:hAnsi="Times New Roman"/>
          <w:sz w:val="24"/>
        </w:rPr>
        <w:t>However, there is no general runtime mechanism that:</w:t>
      </w:r>
    </w:p>
    <w:p>
      <w:pPr>
        <w:pStyle w:val="ListBullet"/>
      </w:pPr>
      <w:r>
        <w:rPr>
          <w:rFonts w:ascii="Times New Roman" w:hAnsi="Times New Roman"/>
          <w:sz w:val="24"/>
        </w:rPr>
        <w:t>Measures model-reality divergence,</w:t>
      </w:r>
    </w:p>
    <w:p>
      <w:pPr>
        <w:pStyle w:val="ListBullet"/>
      </w:pPr>
      <w:r>
        <w:rPr>
          <w:rFonts w:ascii="Times New Roman" w:hAnsi="Times New Roman"/>
          <w:sz w:val="24"/>
        </w:rPr>
        <w:t>Infers trust in system behavior using both physics-based and neural methods,</w:t>
      </w:r>
    </w:p>
    <w:p>
      <w:pPr>
        <w:pStyle w:val="ListBullet"/>
      </w:pPr>
      <w:r>
        <w:rPr>
          <w:rFonts w:ascii="Times New Roman" w:hAnsi="Times New Roman"/>
          <w:sz w:val="24"/>
        </w:rPr>
        <w:t>Enforces bounded authority through a controller-agnostic adapter, and</w:t>
      </w:r>
    </w:p>
    <w:p>
      <w:pPr>
        <w:pStyle w:val="ListBullet"/>
      </w:pPr>
      <w:r>
        <w:rPr>
          <w:rFonts w:ascii="Times New Roman" w:hAnsi="Times New Roman"/>
          <w:sz w:val="24"/>
        </w:rPr>
        <w:t>Produces tamper-evident records of enforcement decisions.</w:t>
      </w:r>
    </w:p>
    <w:p>
      <w:r>
        <w:rPr>
          <w:rFonts w:ascii="Times New Roman" w:hAnsi="Times New Roman"/>
          <w:sz w:val="24"/>
        </w:rPr>
        <w:t xml:space="preserve">[0005]  </w:t>
      </w:r>
      <w:r>
        <w:rPr>
          <w:rFonts w:ascii="Times New Roman" w:hAnsi="Times New Roman"/>
          <w:sz w:val="24"/>
        </w:rPr>
        <w:t>Thus, unsafe actions may occur even when the controller is functioning nominally.</w:t>
      </w:r>
    </w:p>
    <w:p>
      <w:pPr>
        <w:pStyle w:val="Heading3"/>
      </w:pPr>
      <w:r>
        <w:rPr>
          <w:rFonts w:ascii="Times New Roman" w:hAnsi="Times New Roman"/>
        </w:rPr>
        <w:t>Distinction from Prior Art</w:t>
      </w:r>
    </w:p>
    <w:p>
      <w:r>
        <w:rPr>
          <w:rFonts w:ascii="Times New Roman" w:hAnsi="Times New Roman"/>
          <w:sz w:val="24"/>
        </w:rPr>
        <w:t xml:space="preserve">[0006]  </w:t>
      </w:r>
      <w:r>
        <w:rPr>
          <w:rFonts w:ascii="Times New Roman" w:hAnsi="Times New Roman"/>
          <w:sz w:val="24"/>
        </w:rPr>
        <w:t>The closest prior art, the Neural Simplex Architecture (Phan et al., 2019), employs binary switching between a high-performance neural controller and a verified baseline controller when a safety envelope is violated. This binary switching approach -- the system is either using the advanced controller or the baseline controller -- fundamentally differs from the present invention's continuous trust modulation. The present invention computes a continuous trust value from measured behavioral divergence and maps that continuous value to graduated authority levels via a monotonic non-increasing function. This enables proportional response: as trust decreases, control authority is progressively constrained through scaling, clamping, and eventually failsafe override, rather than abruptly switching controllers. The present invention also introduces neural multi-head trust inference producing multiple concurrent governance signals, a non-bypassable controller-agnostic enforcement adapter, and a tamper-evident cryptographic audit chain -- none of which are present in the Neural Simplex Architecture or its variants.</w:t>
      </w:r>
    </w:p>
    <w:p>
      <w:r>
        <w:rPr>
          <w:rFonts w:ascii="Times New Roman" w:hAnsi="Times New Roman"/>
          <w:sz w:val="24"/>
        </w:rPr>
        <w:t xml:space="preserve">[0007]  </w:t>
      </w:r>
      <w:r>
        <w:rPr>
          <w:rFonts w:ascii="Times New Roman" w:hAnsi="Times New Roman"/>
          <w:sz w:val="24"/>
        </w:rPr>
        <w:t>The Aegis Architecture (Mazzocchetti, 2026) provides cryptographic runtime governance with hash-chained audit logs, but operates in the AI agent policy compliance domain (governing text emissions), not physical actuation governance. Aegis has no divergence computation between expected and observed physical behavior, no continuous trust value computation, and no graduated authority levels.</w:t>
      </w:r>
    </w:p>
    <w:p>
      <w:r>
        <w:rPr>
          <w:rFonts w:ascii="Times New Roman" w:hAnsi="Times New Roman"/>
          <w:sz w:val="24"/>
        </w:rPr>
        <w:t xml:space="preserve">[0008]  </w:t>
      </w:r>
      <w:r>
        <w:rPr>
          <w:rFonts w:ascii="Times New Roman" w:hAnsi="Times New Roman"/>
          <w:sz w:val="24"/>
        </w:rPr>
        <w:t>While exponential decay functions are known in probabilistic trust models (El Salamouny et al., 2009), the present invention applies exponential decay specifically to governance of physical actuation authority -- computing trust from model-reality divergence observed in real-time sensor data, smoothing via EMA, and mapping the result to bounded control authority through a non-bypassable enforcement adapter. The mathematical decay function is a known building block; the governance application to actuation authority with neural inference and cryptographic audit is novel.</w:t>
      </w:r>
    </w:p>
    <w:p/>
    <w:p>
      <w:pPr>
        <w:pStyle w:val="Heading1"/>
      </w:pPr>
      <w:r>
        <w:rPr>
          <w:rFonts w:ascii="Times New Roman" w:hAnsi="Times New Roman"/>
        </w:rPr>
        <w:t>SUMMARY OF THE INVENTION</w:t>
      </w:r>
    </w:p>
    <w:p>
      <w:r>
        <w:rPr>
          <w:rFonts w:ascii="Times New Roman" w:hAnsi="Times New Roman"/>
          <w:b w:val="0"/>
          <w:sz w:val="24"/>
        </w:rPr>
        <w:t xml:space="preserve">[0009]  </w:t>
      </w:r>
      <w:r>
        <w:rPr>
          <w:rFonts w:ascii="Times New Roman" w:hAnsi="Times New Roman"/>
          <w:b w:val="0"/>
          <w:i w:val="0"/>
          <w:sz w:val="24"/>
        </w:rPr>
        <w:t>The invention provides a runtime supervisory governor that:</w:t>
        <w:br/>
        <w:t>- Computes divergence between expected and observed system behavior,</w:t>
        <w:br/>
        <w:t>- Infers a trust value through a multi-stage pipeline combining physics-based decay, temporal smoothing, and neural trust inference with multi-head classification,</w:t>
        <w:br/>
        <w:t>- Maps said trust value to a bounded authority level using a monotonic non-increasing function,</w:t>
        <w:br/>
        <w:t>- Enforces control commands through a non-bypassable, controller-agnostic enforcement adapter that applies declarative constraints without interpreting governance logic,</w:t>
        <w:br/>
        <w:t>- Manages operating modes with deterministic transitions and authority-weighted recovery hysteresis, and</w:t>
        <w:br/>
        <w:t>- Produces cryptographically verifiable audit artifacts describing each enforcement decision, forming a tamper-evident chain.</w:t>
        <w:br/>
        <w:br/>
        <w:t>The invention operates independently of perception, planning, and control logic and does not generate commands of its own. Instead, it constrains or replaces commands from an upstream controller when unsafe conditions are detected.</w:t>
        <w:br/>
        <w:br/>
        <w:t>A formal safety envelope is declared outside the learning system and enforced regardless of learned trust output.</w:t>
        <w:br/>
        <w:br/>
        <w:t>---</w:t>
      </w:r>
    </w:p>
    <w:p/>
    <w:p>
      <w:pPr>
        <w:pStyle w:val="Heading1"/>
      </w:pPr>
      <w:r>
        <w:rPr>
          <w:rFonts w:ascii="Times New Roman" w:hAnsi="Times New Roman"/>
        </w:rPr>
        <w:t>BRIEF DESCRIPTION OF THE DRAWINGS</w:t>
      </w:r>
    </w:p>
    <w:p>
      <w:r>
        <w:rPr>
          <w:rFonts w:ascii="Times New Roman" w:hAnsi="Times New Roman"/>
          <w:b w:val="0"/>
          <w:sz w:val="24"/>
        </w:rPr>
        <w:t xml:space="preserve">[0010]  </w:t>
      </w:r>
      <w:r>
        <w:rPr>
          <w:rFonts w:ascii="Times New Roman" w:hAnsi="Times New Roman"/>
          <w:b w:val="0"/>
          <w:i w:val="0"/>
          <w:sz w:val="24"/>
        </w:rPr>
        <w:t>FIG. 1 is a system block diagram of a system for runtime governance of an autonomous system, showing the expectation interface (100), observation interface (102), divergence computation module (104), trust inference module (106) including the neural trust inference component (108), authority mapping module (110), mode management module (112), enforcement adapter (114), audit artifact generator (116), and tamper-evident audit chain (118).</w:t>
      </w:r>
    </w:p>
    <w:p>
      <w:r>
        <w:rPr>
          <w:rFonts w:ascii="Times New Roman" w:hAnsi="Times New Roman"/>
          <w:b w:val="0"/>
          <w:sz w:val="24"/>
        </w:rPr>
        <w:t xml:space="preserve">[0011]  </w:t>
      </w:r>
      <w:r>
        <w:rPr>
          <w:rFonts w:ascii="Times New Roman" w:hAnsi="Times New Roman"/>
          <w:b w:val="0"/>
          <w:i w:val="0"/>
          <w:sz w:val="24"/>
        </w:rPr>
        <w:t>FIG. 2 is a block diagram of the multi-stage trust evaluation pipeline within the trust inference module (106), showing computation from a divergence metric input (200) through a bounded decay function (202), exponential moving average smoothing (204), neural trust inference (206), composite trust value computation (208), safety envelope check (210), operational design domain checks (214), recovery hysteresis (216), and final trust signal assembly (218).</w:t>
      </w:r>
    </w:p>
    <w:p>
      <w:r>
        <w:rPr>
          <w:rFonts w:ascii="Times New Roman" w:hAnsi="Times New Roman"/>
          <w:b w:val="0"/>
          <w:sz w:val="24"/>
        </w:rPr>
        <w:t xml:space="preserve">[0012]  </w:t>
      </w:r>
      <w:r>
        <w:rPr>
          <w:rFonts w:ascii="Times New Roman" w:hAnsi="Times New Roman"/>
          <w:b w:val="0"/>
          <w:i w:val="0"/>
          <w:sz w:val="24"/>
        </w:rPr>
        <w:t>FIG. 3 is a block diagram of the neural trust inference component (108), showing the feature vector input (300), shared encoder (302), latent representation (304), and a plurality of output heads (306, 308, 310) producing a trust score (312) and classification signals indicating degraded (314) and unsafe (316) operating conditions.</w:t>
      </w:r>
    </w:p>
    <w:p>
      <w:r>
        <w:rPr>
          <w:rFonts w:ascii="Times New Roman" w:hAnsi="Times New Roman"/>
          <w:b w:val="0"/>
          <w:sz w:val="24"/>
        </w:rPr>
        <w:t xml:space="preserve">[0013]  </w:t>
      </w:r>
      <w:r>
        <w:rPr>
          <w:rFonts w:ascii="Times New Roman" w:hAnsi="Times New Roman"/>
          <w:b w:val="0"/>
          <w:i w:val="0"/>
          <w:sz w:val="24"/>
        </w:rPr>
        <w:t>FIG. 4 is a state machine diagram of the mode management module (112), showing the nominal mode (400), degraded mode (402), failsafe mode (404), and recovery dwell period (406) with trust-threshold-based transitions and recovery hysteresis.</w:t>
      </w:r>
    </w:p>
    <w:p>
      <w:r>
        <w:rPr>
          <w:rFonts w:ascii="Times New Roman" w:hAnsi="Times New Roman"/>
          <w:b w:val="0"/>
          <w:sz w:val="24"/>
        </w:rPr>
        <w:t xml:space="preserve">[0014]  </w:t>
      </w:r>
      <w:r>
        <w:rPr>
          <w:rFonts w:ascii="Times New Roman" w:hAnsi="Times New Roman"/>
          <w:b w:val="0"/>
          <w:i w:val="0"/>
          <w:sz w:val="24"/>
        </w:rPr>
        <w:t>FIG. 5 is a diagram of the authority mapping module (110), showing the permitted control authority as a monotonic non-increasing function (504) of the trust value, with the failsafe zone (506), degraded zone (508), and nominal zone (510) separated by configurable thresholds (512, 514).</w:t>
      </w:r>
    </w:p>
    <w:p>
      <w:r>
        <w:rPr>
          <w:rFonts w:ascii="Times New Roman" w:hAnsi="Times New Roman"/>
          <w:b w:val="0"/>
          <w:sz w:val="24"/>
        </w:rPr>
        <w:t xml:space="preserve">[0015]  </w:t>
      </w:r>
      <w:r>
        <w:rPr>
          <w:rFonts w:ascii="Times New Roman" w:hAnsi="Times New Roman"/>
          <w:b w:val="0"/>
          <w:i w:val="0"/>
          <w:sz w:val="24"/>
        </w:rPr>
        <w:t>FIG. 6 is a block diagram of the enforcement adapter (114), showing the control command input (600), the non-bypassable enforcement path (602), the constraint severity hierarchy comprising an advisory level (604), bounded scaling level (606), strict clamping level (608), and failsafe override level (610), the anti-amplification invariant check (612), and the enforced control command output (614).</w:t>
      </w:r>
    </w:p>
    <w:p>
      <w:r>
        <w:rPr>
          <w:rFonts w:ascii="Times New Roman" w:hAnsi="Times New Roman"/>
          <w:b w:val="0"/>
          <w:sz w:val="24"/>
        </w:rPr>
        <w:t xml:space="preserve">[0016]  </w:t>
      </w:r>
      <w:r>
        <w:rPr>
          <w:rFonts w:ascii="Times New Roman" w:hAnsi="Times New Roman"/>
          <w:b w:val="0"/>
          <w:i w:val="0"/>
          <w:sz w:val="24"/>
        </w:rPr>
        <w:t>FIG. 7 is a state machine diagram of the envelope recovery state machine, showing the inactive state (700), unsafe state (702), and recovering state (704) with transitions requiring configurable consecutive safe time steps (706).</w:t>
      </w:r>
    </w:p>
    <w:p>
      <w:r>
        <w:rPr>
          <w:rFonts w:ascii="Times New Roman" w:hAnsi="Times New Roman"/>
          <w:b w:val="0"/>
          <w:sz w:val="24"/>
        </w:rPr>
        <w:t xml:space="preserve">[0017]  </w:t>
      </w:r>
      <w:r>
        <w:rPr>
          <w:rFonts w:ascii="Times New Roman" w:hAnsi="Times New Roman"/>
          <w:b w:val="0"/>
          <w:i w:val="0"/>
          <w:sz w:val="24"/>
        </w:rPr>
        <w:t>FIG. 8 is a flowchart of the operational design domain boundary module (800), showing configurable bounds on system velocity (802), environmental conditions (804), sensor agreement (806), and operational parameters (808), with ODD boundary evaluation (810) leading to either continued operation within the declared operating domain (812) or ODD violation detection (814) forcing the trust value to unsafe (816) and triggering a mode transition (818).</w:t>
      </w:r>
    </w:p>
    <w:p>
      <w:r>
        <w:rPr>
          <w:rFonts w:ascii="Times New Roman" w:hAnsi="Times New Roman"/>
          <w:b w:val="0"/>
          <w:sz w:val="24"/>
        </w:rPr>
        <w:t xml:space="preserve">[0018]  </w:t>
      </w:r>
      <w:r>
        <w:rPr>
          <w:rFonts w:ascii="Times New Roman" w:hAnsi="Times New Roman"/>
          <w:b w:val="0"/>
          <w:i w:val="0"/>
          <w:sz w:val="24"/>
        </w:rPr>
        <w:t>FIG. 9 is a diagram of the tamper-evident audit chain, showing safety state records (900, 902, 904) at successive time steps, each containing the divergence metric (912), trust value (914), permitted control authority (916), and control command with enforced control command (918), linked by cryptographic hashes (906) of each safety state record to the prior safety state record hash (908), terminating in a root hash (910).</w:t>
      </w:r>
    </w:p>
    <w:p>
      <w:r>
        <w:rPr>
          <w:rFonts w:ascii="Times New Roman" w:hAnsi="Times New Roman"/>
          <w:b w:val="0"/>
          <w:sz w:val="24"/>
        </w:rPr>
        <w:t xml:space="preserve">[0019]  </w:t>
      </w:r>
      <w:r>
        <w:rPr>
          <w:rFonts w:ascii="Times New Roman" w:hAnsi="Times New Roman"/>
          <w:b w:val="0"/>
          <w:i w:val="0"/>
          <w:sz w:val="24"/>
        </w:rPr>
        <w:t>---</w:t>
      </w:r>
    </w:p>
    <w:p/>
    <w:p>
      <w:pPr>
        <w:pStyle w:val="Heading1"/>
      </w:pPr>
      <w:r>
        <w:rPr>
          <w:rFonts w:ascii="Times New Roman" w:hAnsi="Times New Roman"/>
        </w:rPr>
        <w:t>DETAILED DESCRIPTION OF THE INVENTION</w:t>
      </w:r>
    </w:p>
    <w:p>
      <w:r>
        <w:rPr>
          <w:rFonts w:ascii="Times New Roman" w:hAnsi="Times New Roman"/>
          <w:b w:val="0"/>
          <w:sz w:val="24"/>
        </w:rPr>
        <w:t xml:space="preserve">[0020]  </w:t>
      </w:r>
      <w:r>
        <w:rPr>
          <w:rFonts w:ascii="Times New Roman" w:hAnsi="Times New Roman"/>
          <w:b w:val="0"/>
          <w:i w:val="0"/>
          <w:sz w:val="24"/>
        </w:rPr>
        <w:t>Referring to FIG. 1, a system for runtime governance of an autonomous or semi-autonomous system is shown. The system comprises an expectation interface (100) configured to receive expected system behavior generated by at least one controller or predictive model (120), and an observation interface (102) configured to receive observed system behavior from at least one sensor, estimator, or physical plant (122). A divergence computation module (104) computes a divergence metric between the expected system behavior and the observed system behavior.</w:t>
      </w:r>
    </w:p>
    <w:p>
      <w:r>
        <w:rPr>
          <w:rFonts w:ascii="Times New Roman" w:hAnsi="Times New Roman"/>
          <w:b w:val="0"/>
          <w:sz w:val="24"/>
        </w:rPr>
        <w:t xml:space="preserve">[0021]  </w:t>
      </w:r>
      <w:r>
        <w:rPr>
          <w:rFonts w:ascii="Times New Roman" w:hAnsi="Times New Roman"/>
          <w:b w:val="0"/>
          <w:i w:val="0"/>
          <w:sz w:val="24"/>
        </w:rPr>
        <w:t>The divergence metric is provided to a trust inference module (106), which computes a trust value based at least in part on the divergence metric. The trust inference module (106) includes a neural trust inference component (108), comprising a multi-layer network with a shared encoder and a plurality of output heads. The neural trust inference component (108) receives a feature vector derived from the divergence metric and contextual system state, and produces a trust score and at least one classification signal indicating a degraded or unsafe operating condition, which are used to modulate the trust value.</w:t>
      </w:r>
    </w:p>
    <w:p>
      <w:r>
        <w:rPr>
          <w:rFonts w:ascii="Times New Roman" w:hAnsi="Times New Roman"/>
          <w:b w:val="0"/>
          <w:sz w:val="24"/>
        </w:rPr>
        <w:t xml:space="preserve">[0022]  </w:t>
      </w:r>
      <w:r>
        <w:rPr>
          <w:rFonts w:ascii="Times New Roman" w:hAnsi="Times New Roman"/>
          <w:b w:val="0"/>
          <w:i w:val="0"/>
          <w:sz w:val="24"/>
        </w:rPr>
        <w:t>The trust value is provided to an authority mapping module (110), which computes a permitted control authority as a monotonic non-increasing function of the trust value. The trust value is also provided to a mode management module (112), which selects between a plurality of operating modes based on the trust value.</w:t>
      </w:r>
    </w:p>
    <w:p>
      <w:r>
        <w:rPr>
          <w:rFonts w:ascii="Times New Roman" w:hAnsi="Times New Roman"/>
          <w:b w:val="0"/>
          <w:sz w:val="24"/>
        </w:rPr>
        <w:t xml:space="preserve">[0023]  </w:t>
      </w:r>
      <w:r>
        <w:rPr>
          <w:rFonts w:ascii="Times New Roman" w:hAnsi="Times New Roman"/>
          <w:b w:val="0"/>
          <w:i w:val="0"/>
          <w:sz w:val="24"/>
        </w:rPr>
        <w:t>An enforcement adapter (114) receives the permitted control authority from the authority mapping module (110), the operating mode from the mode management module (112), and a control command from the upstream controller (120). The enforcement adapter (114) is non-bypassable such that all control commands pass through the enforcement adapter (114) prior to actuation, and prevents amplification of any control command. The enforcement adapter (114) produces an enforced control command that is applied to at least one actuator (124).</w:t>
      </w:r>
    </w:p>
    <w:p>
      <w:r>
        <w:rPr>
          <w:rFonts w:ascii="Times New Roman" w:hAnsi="Times New Roman"/>
          <w:b w:val="0"/>
          <w:sz w:val="24"/>
        </w:rPr>
        <w:t xml:space="preserve">[0024]  </w:t>
      </w:r>
      <w:r>
        <w:rPr>
          <w:rFonts w:ascii="Times New Roman" w:hAnsi="Times New Roman"/>
          <w:b w:val="0"/>
          <w:i w:val="0"/>
          <w:sz w:val="24"/>
        </w:rPr>
        <w:t>An audit artifact generator (116) produces, at each time step, a safety state record comprising at least the divergence metric, the trust value, the permitted control authority, the control command, and the enforced control command. The audit artifact generator (116) computes a cryptographic hash of each safety state record and links each safety state record to a cryptographic hash of a prior safety state record to form a tamper-evident audit chain (118).</w:t>
      </w:r>
    </w:p>
    <w:p>
      <w:r>
        <w:rPr>
          <w:rFonts w:ascii="Times New Roman" w:hAnsi="Times New Roman"/>
          <w:b w:val="0"/>
          <w:sz w:val="24"/>
        </w:rPr>
        <w:t xml:space="preserve">[0025]  </w:t>
      </w:r>
      <w:r>
        <w:rPr>
          <w:rFonts w:ascii="Times New Roman" w:hAnsi="Times New Roman"/>
          <w:b w:val="0"/>
          <w:i w:val="0"/>
          <w:sz w:val="24"/>
        </w:rPr>
        <w:t>Referring to FIG. 2, the multi-stage trust evaluation pipeline within the trust inference module (106) is shown. A divergence metric input (200) is processed through a bounded decay function to compute an instantaneous trust value (202). The instantaneous trust value (202) is smoothed by applying exponential moving average smoothing over a configurable temporal window to produce a smoothed trust value (204). The smoothed trust value (204) is modulated with a neural trust score (206) produced by the neural trust inference component (108) to produce a composite trust value (208).</w:t>
      </w:r>
    </w:p>
    <w:p>
      <w:r>
        <w:rPr>
          <w:rFonts w:ascii="Times New Roman" w:hAnsi="Times New Roman"/>
          <w:b w:val="0"/>
          <w:sz w:val="24"/>
        </w:rPr>
        <w:t xml:space="preserve">[0026]  </w:t>
      </w:r>
      <w:r>
        <w:rPr>
          <w:rFonts w:ascii="Times New Roman" w:hAnsi="Times New Roman"/>
          <w:b w:val="0"/>
          <w:i w:val="0"/>
          <w:sz w:val="24"/>
        </w:rPr>
        <w:t>The composite trust value (208) is then processed through a safety envelope check (210), physics threshold checks (212), operational design domain checks (214), and recovery hysteresis with a dwell counter (216). The final trust signal assembly (218) produces a trust value output (220) and operating mode flags indicating degraded or unsafe conditions (222).</w:t>
      </w:r>
    </w:p>
    <w:p>
      <w:r>
        <w:rPr>
          <w:rFonts w:ascii="Times New Roman" w:hAnsi="Times New Roman"/>
          <w:b w:val="0"/>
          <w:sz w:val="24"/>
        </w:rPr>
        <w:t xml:space="preserve">[0027]  </w:t>
      </w:r>
      <w:r>
        <w:rPr>
          <w:rFonts w:ascii="Times New Roman" w:hAnsi="Times New Roman"/>
          <w:b w:val="0"/>
          <w:i w:val="0"/>
          <w:sz w:val="24"/>
        </w:rPr>
        <w:t>Referring to FIG. 3, the neural trust inference component (108) is shown in detail. A feature vector (300) comprising a plurality of elements derived from at least the divergence metric, a measure of observed dynamics, a temporal measure of trust, and at least one contextual signal describing a physical operating condition is provided to a shared encoder (302) implemented as a multi-layer network. The shared encoder (302) produces a latent representation (304) that is fed to a plurality of output heads. A first output head (306) produces a trust score output (312). A second output head (308) produces a classification signal indicating a degraded operating condition (314). A third output head (310) produces a classification signal indicating an unsafe operating condition (316).</w:t>
      </w:r>
    </w:p>
    <w:p>
      <w:r>
        <w:rPr>
          <w:rFonts w:ascii="Times New Roman" w:hAnsi="Times New Roman"/>
          <w:b w:val="0"/>
          <w:sz w:val="24"/>
        </w:rPr>
        <w:t xml:space="preserve">[0028]  </w:t>
      </w:r>
      <w:r>
        <w:rPr>
          <w:rFonts w:ascii="Times New Roman" w:hAnsi="Times New Roman"/>
          <w:b w:val="0"/>
          <w:i w:val="0"/>
          <w:sz w:val="24"/>
        </w:rPr>
        <w:t>Referring to FIG. 4, the mode management module (112) implements a state machine with a plurality of operating modes comprising at least a nominal mode (400), a degraded mode (402), and a failsafe mode (404). Transitions between operating modes are deterministic for identical inputs. In the degraded mode (402), the enforcement adapter (114) scales the control command by a configurable authority factor. In the failsafe mode (404), the enforcement adapter (114) replaces the control command with a predetermined failsafe command. Recovery from the failsafe mode (404) to the nominal mode (400) requires a configurable dwell period (406) during which the trust value must remain above a recovery threshold, with the rate of recovery modulated by the current actuator authority level.</w:t>
      </w:r>
    </w:p>
    <w:p>
      <w:r>
        <w:rPr>
          <w:rFonts w:ascii="Times New Roman" w:hAnsi="Times New Roman"/>
          <w:b w:val="0"/>
          <w:sz w:val="24"/>
        </w:rPr>
        <w:t xml:space="preserve">[0029]  </w:t>
      </w:r>
      <w:r>
        <w:rPr>
          <w:rFonts w:ascii="Times New Roman" w:hAnsi="Times New Roman"/>
          <w:b w:val="0"/>
          <w:i w:val="0"/>
          <w:sz w:val="24"/>
        </w:rPr>
        <w:t>Referring to FIG. 5, the authority mapping module (110) maps the trust value to a permitted control authority using a monotonic non-increasing function (504). As the trust value decreases from the nominal zone (510) through the degraded zone (508) to the failsafe zone (506), the permitted control authority decreases correspondingly. The degradation threshold (514) marks the boundary between the nominal zone and the degraded zone. The failsafe threshold (512) marks the boundary between the degraded zone and the failsafe zone. Within each zone, the authority value is computed by linear interpolation.</w:t>
      </w:r>
    </w:p>
    <w:p>
      <w:r>
        <w:rPr>
          <w:rFonts w:ascii="Times New Roman" w:hAnsi="Times New Roman"/>
          <w:b w:val="0"/>
          <w:sz w:val="24"/>
        </w:rPr>
        <w:t xml:space="preserve">[0030]  </w:t>
      </w:r>
      <w:r>
        <w:rPr>
          <w:rFonts w:ascii="Times New Roman" w:hAnsi="Times New Roman"/>
          <w:b w:val="0"/>
          <w:i w:val="0"/>
          <w:sz w:val="24"/>
        </w:rPr>
        <w:t>Referring to FIG. 6, the enforcement adapter (114) is shown receiving a control command from an upstream controller (600). The enforcement adapter (602) is non-bypassable and applies constraints selected from a hierarchy of constraint severity levels. The hierarchy comprises at least an advisory level (604) producing no modification, a bounded scaling level (606), a strict clamping level (608), and a failsafe override level (610). The constraint of highest severity takes precedence when multiple constraints are applicable. An anti-amplification invariant check (612) ensures the enforcement adapter prevents amplification of any control command. The enforced control command (614) is output to the actuator, and a safety state record (616) is provided to the audit artifact generator (116).</w:t>
      </w:r>
    </w:p>
    <w:p>
      <w:r>
        <w:rPr>
          <w:rFonts w:ascii="Times New Roman" w:hAnsi="Times New Roman"/>
          <w:b w:val="0"/>
          <w:sz w:val="24"/>
        </w:rPr>
        <w:t xml:space="preserve">[0031]  </w:t>
      </w:r>
      <w:r>
        <w:rPr>
          <w:rFonts w:ascii="Times New Roman" w:hAnsi="Times New Roman"/>
          <w:b w:val="0"/>
          <w:i w:val="0"/>
          <w:sz w:val="24"/>
        </w:rPr>
        <w:t>Referring to FIG. 7, the envelope recovery state machine implements a formal safety envelope defining configurable bounds on allowable system behavior. The state machine transitions between an inactive state (700), an unsafe state (702), and a recovering state (704). Violation of the safety envelope forces the permitted control authority to a failsafe value in the unsafe state (702) regardless of the trust value. Recovery from the unsafe state (702) requires a configurable number of consecutive time steps (706) with no envelope violation before returning to the inactive state (700).</w:t>
      </w:r>
    </w:p>
    <w:p>
      <w:r>
        <w:rPr>
          <w:rFonts w:ascii="Times New Roman" w:hAnsi="Times New Roman"/>
          <w:b w:val="0"/>
          <w:sz w:val="24"/>
        </w:rPr>
        <w:t xml:space="preserve">[0032]  </w:t>
      </w:r>
      <w:r>
        <w:rPr>
          <w:rFonts w:ascii="Times New Roman" w:hAnsi="Times New Roman"/>
          <w:b w:val="0"/>
          <w:i w:val="0"/>
          <w:sz w:val="24"/>
        </w:rPr>
        <w:t>Referring to FIG. 8, the operational design domain boundary module (800) determines whether operation is within a declared operating domain. The operating domain is defined by configurable bounds on at least one of: system velocity (802), environmental conditions (804), sensor agreement (806), and operational parameters (808). An ODD boundary evaluation (810) determines whether all bounds are satisfied. If within bounds (812), normal operation continues. If any bound is violated, an ODD violation is detected (814), the trust value is forced to unsafe (816), and a mode transition is triggered (818).</w:t>
      </w:r>
    </w:p>
    <w:p>
      <w:r>
        <w:rPr>
          <w:rFonts w:ascii="Times New Roman" w:hAnsi="Times New Roman"/>
          <w:b w:val="0"/>
          <w:sz w:val="24"/>
        </w:rPr>
        <w:t xml:space="preserve">[0033]  </w:t>
      </w:r>
      <w:r>
        <w:rPr>
          <w:rFonts w:ascii="Times New Roman" w:hAnsi="Times New Roman"/>
          <w:b w:val="0"/>
          <w:i w:val="0"/>
          <w:sz w:val="24"/>
        </w:rPr>
        <w:t>Referring to FIG. 9, the tamper-evident audit chain is shown across multiple time steps. Each safety state record (900, 902, 904) comprises the divergence metric (912), the trust value (914), the permitted control authority (916), and the control command with the enforced control command (918). A cryptographic hash (906) is computed for each safety state record. Each safety state record is linked to the cryptographic hash of the prior safety state record (908) to form the tamper-evident audit chain. A root hash (910) represents the terminal cryptographic hash of the audit chain for a runtime session. Modification of any safety state record alters all subsequent cryptographic hashes in the chain, enabling post-event reconstruction of all governance decisions for certification, regulatory review, or forensic analysis.</w:t>
      </w:r>
    </w:p>
    <w:p/>
    <w:p>
      <w:pPr>
        <w:pStyle w:val="Heading2"/>
      </w:pPr>
      <w:r>
        <w:rPr>
          <w:rFonts w:ascii="Times New Roman" w:hAnsi="Times New Roman"/>
        </w:rPr>
        <w:t>System Architecture</w:t>
      </w:r>
    </w:p>
    <w:p>
      <w:r>
        <w:rPr>
          <w:rFonts w:ascii="Times New Roman" w:hAnsi="Times New Roman"/>
          <w:sz w:val="24"/>
        </w:rPr>
        <w:t xml:space="preserve">[0034]  </w:t>
      </w:r>
      <w:r>
        <w:rPr>
          <w:rFonts w:ascii="Times New Roman" w:hAnsi="Times New Roman"/>
          <w:sz w:val="24"/>
        </w:rPr>
        <w:t>The system comprises:</w:t>
      </w:r>
    </w:p>
    <w:p>
      <w:pPr>
        <w:pStyle w:val="ListBullet"/>
      </w:pPr>
      <w:r>
        <w:rPr>
          <w:rFonts w:ascii="Times New Roman" w:hAnsi="Times New Roman"/>
          <w:sz w:val="24"/>
        </w:rPr>
        <w:t>An expectation interface and observation interface</w:t>
      </w:r>
    </w:p>
    <w:p>
      <w:pPr>
        <w:pStyle w:val="ListBullet"/>
      </w:pPr>
      <w:r>
        <w:rPr>
          <w:rFonts w:ascii="Times New Roman" w:hAnsi="Times New Roman"/>
          <w:sz w:val="24"/>
        </w:rPr>
        <w:t>A divergence computation module</w:t>
      </w:r>
    </w:p>
    <w:p>
      <w:pPr>
        <w:pStyle w:val="ListBullet"/>
      </w:pPr>
      <w:r>
        <w:rPr>
          <w:rFonts w:ascii="Times New Roman" w:hAnsi="Times New Roman"/>
          <w:sz w:val="24"/>
        </w:rPr>
        <w:t>A trust inference module with neural trust inference component</w:t>
      </w:r>
    </w:p>
    <w:p>
      <w:pPr>
        <w:pStyle w:val="ListBullet"/>
      </w:pPr>
      <w:r>
        <w:rPr>
          <w:rFonts w:ascii="Times New Roman" w:hAnsi="Times New Roman"/>
          <w:sz w:val="24"/>
        </w:rPr>
        <w:t>An authority mapping module</w:t>
      </w:r>
    </w:p>
    <w:p>
      <w:pPr>
        <w:pStyle w:val="ListBullet"/>
      </w:pPr>
      <w:r>
        <w:rPr>
          <w:rFonts w:ascii="Times New Roman" w:hAnsi="Times New Roman"/>
          <w:sz w:val="24"/>
        </w:rPr>
        <w:t>An enforcement adapter</w:t>
      </w:r>
    </w:p>
    <w:p>
      <w:pPr>
        <w:pStyle w:val="ListBullet"/>
      </w:pPr>
      <w:r>
        <w:rPr>
          <w:rFonts w:ascii="Times New Roman" w:hAnsi="Times New Roman"/>
          <w:sz w:val="24"/>
        </w:rPr>
        <w:t>A mode management module</w:t>
      </w:r>
    </w:p>
    <w:p>
      <w:pPr>
        <w:pStyle w:val="ListBullet"/>
      </w:pPr>
      <w:r>
        <w:rPr>
          <w:rFonts w:ascii="Times New Roman" w:hAnsi="Times New Roman"/>
          <w:sz w:val="24"/>
        </w:rPr>
        <w:t>A formal safety envelope with recovery state machine</w:t>
      </w:r>
    </w:p>
    <w:p>
      <w:pPr>
        <w:pStyle w:val="ListBullet"/>
      </w:pPr>
      <w:r>
        <w:rPr>
          <w:rFonts w:ascii="Times New Roman" w:hAnsi="Times New Roman"/>
          <w:sz w:val="24"/>
        </w:rPr>
        <w:t>An operational design domain boundary module</w:t>
      </w:r>
    </w:p>
    <w:p>
      <w:pPr>
        <w:pStyle w:val="ListBullet"/>
      </w:pPr>
      <w:r>
        <w:rPr>
          <w:rFonts w:ascii="Times New Roman" w:hAnsi="Times New Roman"/>
          <w:sz w:val="24"/>
        </w:rPr>
        <w:t>An audit artifact generator</w:t>
      </w:r>
    </w:p>
    <w:p>
      <w:r>
        <w:rPr>
          <w:rFonts w:ascii="Times New Roman" w:hAnsi="Times New Roman"/>
          <w:b/>
          <w:sz w:val="24"/>
        </w:rPr>
        <w:t xml:space="preserve">Position in stack: </w:t>
      </w:r>
      <w:r>
        <w:rPr>
          <w:rFonts w:ascii="Times New Roman" w:hAnsi="Times New Roman"/>
          <w:sz w:val="24"/>
        </w:rPr>
      </w:r>
    </w:p>
    <w:p>
      <w:r>
        <w:rPr>
          <w:rFonts w:ascii="Courier New" w:hAnsi="Courier New"/>
          <w:sz w:val="20"/>
        </w:rPr>
        <w:t>Perception -&gt; Planning -&gt; Control -&gt; Governor (invention) -&gt; Actuators</w:t>
      </w:r>
    </w:p>
    <w:p>
      <w:r>
        <w:rPr>
          <w:rFonts w:ascii="Times New Roman" w:hAnsi="Times New Roman"/>
          <w:sz w:val="24"/>
        </w:rPr>
        <w:t xml:space="preserve">[0035]  </w:t>
      </w:r>
      <w:r>
        <w:rPr>
          <w:rFonts w:ascii="Times New Roman" w:hAnsi="Times New Roman"/>
          <w:sz w:val="24"/>
        </w:rPr>
        <w:t>The invention receives:</w:t>
      </w:r>
    </w:p>
    <w:p>
      <w:pPr>
        <w:pStyle w:val="ListBullet"/>
      </w:pPr>
      <w:r>
        <w:rPr>
          <w:rFonts w:ascii="Times New Roman" w:hAnsi="Times New Roman"/>
          <w:sz w:val="24"/>
        </w:rPr>
        <w:t>expected dynamics (from controller or predictive model)</w:t>
      </w:r>
    </w:p>
    <w:p>
      <w:pPr>
        <w:pStyle w:val="ListBullet"/>
      </w:pPr>
      <w:r>
        <w:rPr>
          <w:rFonts w:ascii="Times New Roman" w:hAnsi="Times New Roman"/>
          <w:sz w:val="24"/>
        </w:rPr>
        <w:t>observed dynamics (from sensors or estimators)</w:t>
      </w:r>
    </w:p>
    <w:p>
      <w:pPr>
        <w:pStyle w:val="ListBullet"/>
      </w:pPr>
      <w:r>
        <w:rPr>
          <w:rFonts w:ascii="Times New Roman" w:hAnsi="Times New Roman"/>
          <w:sz w:val="24"/>
        </w:rPr>
        <w:t>control commands (from upstream controller)</w:t>
      </w:r>
    </w:p>
    <w:p>
      <w:pPr>
        <w:pStyle w:val="ListBullet"/>
      </w:pPr>
      <w:r>
        <w:rPr>
          <w:rFonts w:ascii="Times New Roman" w:hAnsi="Times New Roman"/>
          <w:sz w:val="24"/>
        </w:rPr>
        <w:t>contextual signals (physical operating conditions)</w:t>
      </w:r>
    </w:p>
    <w:p>
      <w:r>
        <w:rPr>
          <w:rFonts w:ascii="Times New Roman" w:hAnsi="Times New Roman"/>
          <w:sz w:val="24"/>
        </w:rPr>
        <w:t xml:space="preserve">[0036]  </w:t>
      </w:r>
      <w:r>
        <w:rPr>
          <w:rFonts w:ascii="Times New Roman" w:hAnsi="Times New Roman"/>
          <w:sz w:val="24"/>
        </w:rPr>
        <w:t>It outputs:</w:t>
      </w:r>
    </w:p>
    <w:p>
      <w:pPr>
        <w:pStyle w:val="ListBullet"/>
      </w:pPr>
      <w:r>
        <w:rPr>
          <w:rFonts w:ascii="Times New Roman" w:hAnsi="Times New Roman"/>
          <w:sz w:val="24"/>
        </w:rPr>
        <w:t>bounded control commands</w:t>
      </w:r>
    </w:p>
    <w:p>
      <w:pPr>
        <w:pStyle w:val="ListBullet"/>
      </w:pPr>
      <w:r>
        <w:rPr>
          <w:rFonts w:ascii="Times New Roman" w:hAnsi="Times New Roman"/>
          <w:sz w:val="24"/>
        </w:rPr>
        <w:t>operating mode state</w:t>
      </w:r>
    </w:p>
    <w:p>
      <w:pPr>
        <w:pStyle w:val="ListBullet"/>
      </w:pPr>
      <w:r>
        <w:rPr>
          <w:rFonts w:ascii="Times New Roman" w:hAnsi="Times New Roman"/>
          <w:sz w:val="24"/>
        </w:rPr>
        <w:t>constraint enforcement records</w:t>
      </w:r>
    </w:p>
    <w:p>
      <w:pPr>
        <w:pStyle w:val="ListBullet"/>
      </w:pPr>
      <w:r>
        <w:rPr>
          <w:rFonts w:ascii="Times New Roman" w:hAnsi="Times New Roman"/>
          <w:sz w:val="24"/>
        </w:rPr>
        <w:t>cryptographically chained audit records</w:t>
      </w:r>
    </w:p>
    <w:p>
      <w:pPr>
        <w:pStyle w:val="Heading2"/>
      </w:pPr>
      <w:r>
        <w:rPr>
          <w:rFonts w:ascii="Times New Roman" w:hAnsi="Times New Roman"/>
        </w:rPr>
        <w:t>Data Flow</w:t>
      </w:r>
    </w:p>
    <w:p>
      <w:pPr>
        <w:pStyle w:val="ListNumber"/>
      </w:pPr>
      <w:r>
        <w:rPr>
          <w:rFonts w:ascii="Times New Roman" w:hAnsi="Times New Roman"/>
          <w:sz w:val="24"/>
        </w:rPr>
        <w:t>Expected behavior and observed behavior are received through the expectation and observation interfaces.</w:t>
      </w:r>
    </w:p>
    <w:p>
      <w:pPr>
        <w:pStyle w:val="ListNumber"/>
      </w:pPr>
      <w:r>
        <w:rPr>
          <w:rFonts w:ascii="Times New Roman" w:hAnsi="Times New Roman"/>
          <w:sz w:val="24"/>
        </w:rPr>
        <w:t>Divergence metrics are computed from these inputs.</w:t>
      </w:r>
    </w:p>
    <w:p>
      <w:pPr>
        <w:pStyle w:val="ListNumber"/>
      </w:pPr>
      <w:r>
        <w:rPr>
          <w:rFonts w:ascii="Times New Roman" w:hAnsi="Times New Roman"/>
          <w:sz w:val="24"/>
        </w:rPr>
        <w:t>The multi-stage trust evaluation pipeline processes divergence and contextual signals to produce a composite trust value.</w:t>
      </w:r>
    </w:p>
    <w:p>
      <w:pPr>
        <w:pStyle w:val="ListNumber"/>
      </w:pPr>
      <w:r>
        <w:rPr>
          <w:rFonts w:ascii="Times New Roman" w:hAnsi="Times New Roman"/>
          <w:sz w:val="24"/>
        </w:rPr>
        <w:t>Authority is computed as a monotonic non-increasing function of trust.</w:t>
      </w:r>
    </w:p>
    <w:p>
      <w:pPr>
        <w:pStyle w:val="ListNumber"/>
      </w:pPr>
      <w:r>
        <w:rPr>
          <w:rFonts w:ascii="Times New Roman" w:hAnsi="Times New Roman"/>
          <w:sz w:val="24"/>
        </w:rPr>
        <w:t>The enforcement adapter applies declarative constraints to incoming control commands.</w:t>
      </w:r>
    </w:p>
    <w:p>
      <w:pPr>
        <w:pStyle w:val="ListNumber"/>
      </w:pPr>
      <w:r>
        <w:rPr>
          <w:rFonts w:ascii="Times New Roman" w:hAnsi="Times New Roman"/>
          <w:sz w:val="24"/>
        </w:rPr>
        <w:t>System mode is updated deterministically.</w:t>
      </w:r>
    </w:p>
    <w:p>
      <w:pPr>
        <w:pStyle w:val="ListNumber"/>
      </w:pPr>
      <w:r>
        <w:rPr>
          <w:rFonts w:ascii="Times New Roman" w:hAnsi="Times New Roman"/>
          <w:sz w:val="24"/>
        </w:rPr>
        <w:t>A safety state record is generated, hashed, and chain-linked to a prior record.</w:t>
      </w:r>
    </w:p>
    <w:p>
      <w:pPr>
        <w:pStyle w:val="Heading2"/>
      </w:pPr>
      <w:r>
        <w:rPr>
          <w:rFonts w:ascii="Times New Roman" w:hAnsi="Times New Roman"/>
        </w:rPr>
        <w:t>Multi-Stage Trust Evaluation Pipeline</w:t>
      </w:r>
    </w:p>
    <w:p>
      <w:r>
        <w:rPr>
          <w:rFonts w:ascii="Times New Roman" w:hAnsi="Times New Roman"/>
          <w:sz w:val="24"/>
        </w:rPr>
        <w:t xml:space="preserve">[0037]  </w:t>
      </w:r>
      <w:r>
        <w:rPr>
          <w:rFonts w:ascii="Times New Roman" w:hAnsi="Times New Roman"/>
          <w:sz w:val="24"/>
        </w:rPr>
        <w:t>Trust is computed through a pipeline of stages, each executed at every time step:</w:t>
      </w:r>
    </w:p>
    <w:p>
      <w:pPr>
        <w:pStyle w:val="Heading3"/>
      </w:pPr>
      <w:r>
        <w:rPr>
          <w:rFonts w:ascii="Times New Roman" w:hAnsi="Times New Roman"/>
        </w:rPr>
        <w:t>Stage 1: Instantaneous Trust</w:t>
      </w:r>
    </w:p>
    <w:p>
      <w:r>
        <w:rPr>
          <w:rFonts w:ascii="Times New Roman" w:hAnsi="Times New Roman"/>
          <w:sz w:val="24"/>
        </w:rPr>
        <w:t xml:space="preserve">[0038]  </w:t>
      </w:r>
      <w:r>
        <w:rPr>
          <w:rFonts w:ascii="Times New Roman" w:hAnsi="Times New Roman"/>
          <w:sz w:val="24"/>
        </w:rPr>
        <w:t>Divergence between expected and observed behavior is processed through a bounded decay function. The decay function produces a trust value that decreases exponentially as divergence increases. A configurable decay rate controls the sensitivity. Normalization prevents noise-floor effects in low-divergence conditions.</w:t>
      </w:r>
    </w:p>
    <w:p>
      <w:pPr>
        <w:pStyle w:val="Heading3"/>
      </w:pPr>
      <w:r>
        <w:rPr>
          <w:rFonts w:ascii="Times New Roman" w:hAnsi="Times New Roman"/>
        </w:rPr>
        <w:t>Stage 2: Temporal Smoothing</w:t>
      </w:r>
    </w:p>
    <w:p>
      <w:r>
        <w:rPr>
          <w:rFonts w:ascii="Times New Roman" w:hAnsi="Times New Roman"/>
          <w:sz w:val="24"/>
        </w:rPr>
        <w:t xml:space="preserve">[0039]  </w:t>
      </w:r>
      <w:r>
        <w:rPr>
          <w:rFonts w:ascii="Times New Roman" w:hAnsi="Times New Roman"/>
          <w:sz w:val="24"/>
        </w:rPr>
        <w:t>The instantaneous trust value is smoothed using an exponential moving average over a configurable temporal window. This prevents transient disturbances from causing unnecessary mode transitions while ensuring that persistent divergence is captured.</w:t>
      </w:r>
    </w:p>
    <w:p>
      <w:pPr>
        <w:pStyle w:val="Heading3"/>
      </w:pPr>
      <w:r>
        <w:rPr>
          <w:rFonts w:ascii="Times New Roman" w:hAnsi="Times New Roman"/>
        </w:rPr>
        <w:t>Stage 3: Neural Trust Inference</w:t>
      </w:r>
    </w:p>
    <w:p>
      <w:r>
        <w:rPr>
          <w:rFonts w:ascii="Times New Roman" w:hAnsi="Times New Roman"/>
          <w:sz w:val="24"/>
        </w:rPr>
        <w:t xml:space="preserve">[0040]  </w:t>
      </w:r>
      <w:r>
        <w:rPr>
          <w:rFonts w:ascii="Times New Roman" w:hAnsi="Times New Roman"/>
          <w:sz w:val="24"/>
        </w:rPr>
        <w:t>A feature vector is constructed from the divergence metric and contextual system state. This feature vector is processed through a multi-layer neural network comprising a shared encoder and a plurality of output heads.</w:t>
      </w:r>
    </w:p>
    <w:p>
      <w:r>
        <w:rPr>
          <w:rFonts w:ascii="Times New Roman" w:hAnsi="Times New Roman"/>
          <w:sz w:val="24"/>
        </w:rPr>
        <w:t xml:space="preserve">[0041]  </w:t>
      </w:r>
      <w:r>
        <w:rPr>
          <w:rFonts w:ascii="Times New Roman" w:hAnsi="Times New Roman"/>
          <w:sz w:val="24"/>
        </w:rPr>
        <w:t>The shared encoder processes the feature vector through a series of nonlinear transformations with configurable width and depth. Each output head produces a distinct governance signal:</w:t>
      </w:r>
    </w:p>
    <w:p>
      <w:pPr>
        <w:pStyle w:val="ListBullet"/>
      </w:pPr>
      <w:r>
        <w:rPr>
          <w:rFonts w:ascii="Times New Roman" w:hAnsi="Times New Roman"/>
          <w:sz w:val="24"/>
        </w:rPr>
        <w:t>A trust score bounded in a predefined range (via a squashing function)</w:t>
      </w:r>
    </w:p>
    <w:p>
      <w:pPr>
        <w:pStyle w:val="ListBullet"/>
      </w:pPr>
      <w:r>
        <w:rPr>
          <w:rFonts w:ascii="Times New Roman" w:hAnsi="Times New Roman"/>
          <w:sz w:val="24"/>
        </w:rPr>
        <w:t>A classification signal indicating a degraded operating condition (raw classification output)</w:t>
      </w:r>
    </w:p>
    <w:p>
      <w:pPr>
        <w:pStyle w:val="ListBullet"/>
      </w:pPr>
      <w:r>
        <w:rPr>
          <w:rFonts w:ascii="Times New Roman" w:hAnsi="Times New Roman"/>
          <w:sz w:val="24"/>
        </w:rPr>
        <w:t>A classification signal indicating an unsafe operating condition (raw classification output)</w:t>
      </w:r>
    </w:p>
    <w:p>
      <w:r>
        <w:rPr>
          <w:rFonts w:ascii="Times New Roman" w:hAnsi="Times New Roman"/>
          <w:sz w:val="24"/>
        </w:rPr>
        <w:t xml:space="preserve">[0042]  </w:t>
      </w:r>
      <w:r>
        <w:rPr>
          <w:rFonts w:ascii="Times New Roman" w:hAnsi="Times New Roman"/>
          <w:sz w:val="24"/>
        </w:rPr>
        <w:t>The neural trust inference component performs inference only. No online learning occurs during governance operation.</w:t>
      </w:r>
    </w:p>
    <w:p>
      <w:pPr>
        <w:pStyle w:val="Heading3"/>
      </w:pPr>
      <w:r>
        <w:rPr>
          <w:rFonts w:ascii="Times New Roman" w:hAnsi="Times New Roman"/>
        </w:rPr>
        <w:t>Stage 4: Trust Modulation</w:t>
      </w:r>
    </w:p>
    <w:p>
      <w:r>
        <w:rPr>
          <w:rFonts w:ascii="Times New Roman" w:hAnsi="Times New Roman"/>
          <w:sz w:val="24"/>
        </w:rPr>
        <w:t xml:space="preserve">[0043]  </w:t>
      </w:r>
      <w:r>
        <w:rPr>
          <w:rFonts w:ascii="Times New Roman" w:hAnsi="Times New Roman"/>
          <w:sz w:val="24"/>
        </w:rPr>
        <w:t>The smoothed trust value from Stage 2 is combined with the neural trust score from Stage 3 to produce a composite trust value.</w:t>
      </w:r>
    </w:p>
    <w:p>
      <w:pPr>
        <w:pStyle w:val="Heading3"/>
      </w:pPr>
      <w:r>
        <w:rPr>
          <w:rFonts w:ascii="Times New Roman" w:hAnsi="Times New Roman"/>
        </w:rPr>
        <w:t>Stage 5: Safety Envelope Check</w:t>
      </w:r>
    </w:p>
    <w:p>
      <w:r>
        <w:rPr>
          <w:rFonts w:ascii="Times New Roman" w:hAnsi="Times New Roman"/>
          <w:sz w:val="24"/>
        </w:rPr>
        <w:t xml:space="preserve">[0044]  </w:t>
      </w:r>
      <w:r>
        <w:rPr>
          <w:rFonts w:ascii="Times New Roman" w:hAnsi="Times New Roman"/>
          <w:sz w:val="24"/>
        </w:rPr>
        <w:t>A structural safety envelope state machine evaluates whether observable physical quantities exceed declared bounds. The state machine has three states:</w:t>
      </w:r>
    </w:p>
    <w:p>
      <w:pPr>
        <w:pStyle w:val="ListBullet"/>
      </w:pPr>
      <w:r>
        <w:rPr>
          <w:rFonts w:ascii="Times New Roman" w:hAnsi="Times New Roman"/>
          <w:sz w:val="24"/>
        </w:rPr>
      </w:r>
      <w:r>
        <w:rPr>
          <w:rFonts w:ascii="Times New Roman" w:hAnsi="Times New Roman"/>
          <w:b/>
          <w:sz w:val="24"/>
        </w:rPr>
        <w:t>Inactive:</w:t>
      </w:r>
      <w:r>
        <w:rPr>
          <w:rFonts w:ascii="Times New Roman" w:hAnsi="Times New Roman"/>
          <w:sz w:val="24"/>
        </w:rPr>
        <w:t xml:space="preserve"> No envelope violation detected.</w:t>
      </w:r>
    </w:p>
    <w:p>
      <w:pPr>
        <w:pStyle w:val="ListBullet"/>
      </w:pPr>
      <w:r>
        <w:rPr>
          <w:rFonts w:ascii="Times New Roman" w:hAnsi="Times New Roman"/>
          <w:sz w:val="24"/>
        </w:rPr>
      </w:r>
      <w:r>
        <w:rPr>
          <w:rFonts w:ascii="Times New Roman" w:hAnsi="Times New Roman"/>
          <w:b/>
          <w:sz w:val="24"/>
        </w:rPr>
        <w:t>Unsafe:</w:t>
      </w:r>
      <w:r>
        <w:rPr>
          <w:rFonts w:ascii="Times New Roman" w:hAnsi="Times New Roman"/>
          <w:sz w:val="24"/>
        </w:rPr>
        <w:t xml:space="preserve"> Physical quantities exceed bounds. Trust forced to minimum.</w:t>
      </w:r>
    </w:p>
    <w:p>
      <w:pPr>
        <w:pStyle w:val="ListBullet"/>
      </w:pPr>
      <w:r>
        <w:rPr>
          <w:rFonts w:ascii="Times New Roman" w:hAnsi="Times New Roman"/>
          <w:sz w:val="24"/>
        </w:rPr>
      </w:r>
      <w:r>
        <w:rPr>
          <w:rFonts w:ascii="Times New Roman" w:hAnsi="Times New Roman"/>
          <w:b/>
          <w:sz w:val="24"/>
        </w:rPr>
        <w:t>Recovering:</w:t>
      </w:r>
      <w:r>
        <w:rPr>
          <w:rFonts w:ascii="Times New Roman" w:hAnsi="Times New Roman"/>
          <w:sz w:val="24"/>
        </w:rPr>
        <w:t xml:space="preserve"> Physical quantities have returned to within bounds. Recovery requires a configurable number of consecutive safe time steps before returning to inactive.</w:t>
      </w:r>
    </w:p>
    <w:p>
      <w:pPr>
        <w:pStyle w:val="Heading3"/>
      </w:pPr>
      <w:r>
        <w:rPr>
          <w:rFonts w:ascii="Times New Roman" w:hAnsi="Times New Roman"/>
        </w:rPr>
        <w:t>Stage 6: Physics Threshold Checks</w:t>
      </w:r>
    </w:p>
    <w:p>
      <w:r>
        <w:rPr>
          <w:rFonts w:ascii="Times New Roman" w:hAnsi="Times New Roman"/>
          <w:sz w:val="24"/>
        </w:rPr>
        <w:t xml:space="preserve">[0045]  </w:t>
      </w:r>
      <w:r>
        <w:rPr>
          <w:rFonts w:ascii="Times New Roman" w:hAnsi="Times New Roman"/>
          <w:sz w:val="24"/>
        </w:rPr>
        <w:t>Observable quantities (divergence residuals, dynamic measurements) are compared against configurable thresholds. These thresholds define boundaries between nominal, degraded, and unsafe conditions.</w:t>
      </w:r>
    </w:p>
    <w:p>
      <w:pPr>
        <w:pStyle w:val="Heading3"/>
      </w:pPr>
      <w:r>
        <w:rPr>
          <w:rFonts w:ascii="Times New Roman" w:hAnsi="Times New Roman"/>
        </w:rPr>
        <w:t>Stage 7: Operational Design Domain Checks</w:t>
      </w:r>
    </w:p>
    <w:p>
      <w:r>
        <w:rPr>
          <w:rFonts w:ascii="Times New Roman" w:hAnsi="Times New Roman"/>
          <w:sz w:val="24"/>
        </w:rPr>
        <w:t xml:space="preserve">[0046]  </w:t>
      </w:r>
      <w:r>
        <w:rPr>
          <w:rFonts w:ascii="Times New Roman" w:hAnsi="Times New Roman"/>
          <w:sz w:val="24"/>
        </w:rPr>
        <w:t>The system verifies operation is within a declared operating domain defined by configurable bounds on system velocity, environmental conditions, sensor agreement, and operational parameters. Violations force trust to unsafe and trigger mode transitions.</w:t>
      </w:r>
    </w:p>
    <w:p>
      <w:pPr>
        <w:pStyle w:val="Heading3"/>
      </w:pPr>
      <w:r>
        <w:rPr>
          <w:rFonts w:ascii="Times New Roman" w:hAnsi="Times New Roman"/>
        </w:rPr>
        <w:t>Stage 8: Recovery Hysteresis</w:t>
      </w:r>
    </w:p>
    <w:p>
      <w:r>
        <w:rPr>
          <w:rFonts w:ascii="Times New Roman" w:hAnsi="Times New Roman"/>
          <w:sz w:val="24"/>
        </w:rPr>
        <w:t xml:space="preserve">[0047]  </w:t>
      </w:r>
      <w:r>
        <w:rPr>
          <w:rFonts w:ascii="Times New Roman" w:hAnsi="Times New Roman"/>
          <w:sz w:val="24"/>
        </w:rPr>
        <w:t>Recovery from failsafe requires a configurable dwell period. During recovery:</w:t>
      </w:r>
    </w:p>
    <w:p>
      <w:pPr>
        <w:pStyle w:val="ListBullet"/>
      </w:pPr>
      <w:r>
        <w:rPr>
          <w:rFonts w:ascii="Times New Roman" w:hAnsi="Times New Roman"/>
          <w:sz w:val="24"/>
        </w:rPr>
        <w:t>The trust value is capped above the unsafe threshold by a configurable margin.</w:t>
      </w:r>
    </w:p>
    <w:p>
      <w:pPr>
        <w:pStyle w:val="ListBullet"/>
      </w:pPr>
      <w:r>
        <w:rPr>
          <w:rFonts w:ascii="Times New Roman" w:hAnsi="Times New Roman"/>
          <w:sz w:val="24"/>
        </w:rPr>
        <w:t>The dwell counter increments at a rate modulated by the current actuator authority level. Authority-limited operation produces faster recovery progression.</w:t>
      </w:r>
    </w:p>
    <w:p>
      <w:pPr>
        <w:pStyle w:val="ListBullet"/>
      </w:pPr>
      <w:r>
        <w:rPr>
          <w:rFonts w:ascii="Times New Roman" w:hAnsi="Times New Roman"/>
          <w:sz w:val="24"/>
        </w:rPr>
        <w:t>Recovery is aborted and the counter reset if unsafe conditions recur.</w:t>
      </w:r>
    </w:p>
    <w:p>
      <w:pPr>
        <w:pStyle w:val="ListBullet"/>
      </w:pPr>
      <w:r>
        <w:rPr>
          <w:rFonts w:ascii="Times New Roman" w:hAnsi="Times New Roman"/>
          <w:sz w:val="24"/>
        </w:rPr>
        <w:t>Upon dwell completion, trust is released to a configurable recovery floor.</w:t>
      </w:r>
    </w:p>
    <w:p>
      <w:r>
        <w:rPr>
          <w:rFonts w:ascii="Times New Roman" w:hAnsi="Times New Roman"/>
          <w:sz w:val="24"/>
        </w:rPr>
        <w:t xml:space="preserve">[0048]  </w:t>
      </w:r>
      <w:r>
        <w:rPr>
          <w:rFonts w:ascii="Times New Roman" w:hAnsi="Times New Roman"/>
          <w:sz w:val="24"/>
        </w:rPr>
        <w:t>This mechanism prevents rapid oscillation at safety boundaries while allowing controlled return to nominal operation.</w:t>
      </w:r>
    </w:p>
    <w:p>
      <w:pPr>
        <w:pStyle w:val="Heading3"/>
      </w:pPr>
      <w:r>
        <w:rPr>
          <w:rFonts w:ascii="Times New Roman" w:hAnsi="Times New Roman"/>
        </w:rPr>
        <w:t>Stage 9: Final Signal Assembly</w:t>
      </w:r>
    </w:p>
    <w:p>
      <w:r>
        <w:rPr>
          <w:rFonts w:ascii="Times New Roman" w:hAnsi="Times New Roman"/>
          <w:sz w:val="24"/>
        </w:rPr>
        <w:t xml:space="preserve">[0049]  </w:t>
      </w:r>
      <w:r>
        <w:rPr>
          <w:rFonts w:ascii="Times New Roman" w:hAnsi="Times New Roman"/>
          <w:sz w:val="24"/>
        </w:rPr>
        <w:t>The composite trust value is clamped to the predefined range. Operating mode flags are set:</w:t>
      </w:r>
    </w:p>
    <w:p>
      <w:pPr>
        <w:pStyle w:val="ListBullet"/>
      </w:pPr>
      <w:r>
        <w:rPr>
          <w:rFonts w:ascii="Times New Roman" w:hAnsi="Times New Roman"/>
          <w:sz w:val="24"/>
        </w:rPr>
        <w:t>Degraded: trust below the degraded threshold</w:t>
      </w:r>
    </w:p>
    <w:p>
      <w:pPr>
        <w:pStyle w:val="ListBullet"/>
      </w:pPr>
      <w:r>
        <w:rPr>
          <w:rFonts w:ascii="Times New Roman" w:hAnsi="Times New Roman"/>
          <w:sz w:val="24"/>
        </w:rPr>
        <w:t>Unsafe: trust below the unsafe threshold, or was unsafe in the prior step and has not completed recovery</w:t>
      </w:r>
    </w:p>
    <w:p>
      <w:pPr>
        <w:pStyle w:val="Heading2"/>
      </w:pPr>
      <w:r>
        <w:rPr>
          <w:rFonts w:ascii="Times New Roman" w:hAnsi="Times New Roman"/>
        </w:rPr>
        <w:t>Neural Trust Inference Component -- Detailed Description</w:t>
      </w:r>
    </w:p>
    <w:p>
      <w:r>
        <w:rPr>
          <w:rFonts w:ascii="Times New Roman" w:hAnsi="Times New Roman"/>
          <w:sz w:val="24"/>
        </w:rPr>
        <w:t xml:space="preserve">[0050]  </w:t>
      </w:r>
      <w:r>
        <w:rPr>
          <w:rFonts w:ascii="Times New Roman" w:hAnsi="Times New Roman"/>
          <w:sz w:val="24"/>
        </w:rPr>
        <w:t>The neural trust inference component is a feedforward multi-layer network with the following architecture:</w:t>
      </w:r>
    </w:p>
    <w:p>
      <w:r>
        <w:rPr>
          <w:rFonts w:ascii="Times New Roman" w:hAnsi="Times New Roman"/>
          <w:b/>
          <w:sz w:val="24"/>
        </w:rPr>
        <w:t xml:space="preserve">Input: </w:t>
      </w:r>
      <w:r>
        <w:rPr>
          <w:rFonts w:ascii="Times New Roman" w:hAnsi="Times New Roman"/>
          <w:sz w:val="24"/>
        </w:rPr>
        <w:t>A feature vector of configurable dimensionality. In one preferred embodiment, the feature vector contains elements derived from:</w:t>
      </w:r>
    </w:p>
    <w:p>
      <w:pPr>
        <w:pStyle w:val="ListBullet"/>
      </w:pPr>
      <w:r>
        <w:rPr>
          <w:rFonts w:ascii="Times New Roman" w:hAnsi="Times New Roman"/>
          <w:sz w:val="24"/>
        </w:rPr>
        <w:t>Expected and observed dynamic measurements</w:t>
      </w:r>
    </w:p>
    <w:p>
      <w:pPr>
        <w:pStyle w:val="ListBullet"/>
      </w:pPr>
      <w:r>
        <w:rPr>
          <w:rFonts w:ascii="Times New Roman" w:hAnsi="Times New Roman"/>
          <w:sz w:val="24"/>
        </w:rPr>
        <w:t>Divergence metrics</w:t>
      </w:r>
    </w:p>
    <w:p>
      <w:pPr>
        <w:pStyle w:val="ListBullet"/>
      </w:pPr>
      <w:r>
        <w:rPr>
          <w:rFonts w:ascii="Times New Roman" w:hAnsi="Times New Roman"/>
          <w:sz w:val="24"/>
        </w:rPr>
        <w:t>Temporal trust measures</w:t>
      </w:r>
    </w:p>
    <w:p>
      <w:pPr>
        <w:pStyle w:val="ListBullet"/>
      </w:pPr>
      <w:r>
        <w:rPr>
          <w:rFonts w:ascii="Times New Roman" w:hAnsi="Times New Roman"/>
          <w:sz w:val="24"/>
        </w:rPr>
        <w:t>Contextual physical signals (environmental conditions, system configuration, sensor agreement)</w:t>
      </w:r>
    </w:p>
    <w:p>
      <w:r>
        <w:rPr>
          <w:rFonts w:ascii="Times New Roman" w:hAnsi="Times New Roman"/>
          <w:b/>
          <w:sz w:val="24"/>
        </w:rPr>
        <w:t xml:space="preserve">Shared Encoder: </w:t>
      </w:r>
      <w:r>
        <w:rPr>
          <w:rFonts w:ascii="Times New Roman" w:hAnsi="Times New Roman"/>
          <w:sz w:val="24"/>
        </w:rPr>
        <w:t>A series of linear transformations followed by nonlinear activations (rectified linear units in one embodiment). The encoder processes the raw feature vector into a latent representation suitable for multi-task governance classification.</w:t>
      </w:r>
    </w:p>
    <w:p>
      <w:r>
        <w:rPr>
          <w:rFonts w:ascii="Times New Roman" w:hAnsi="Times New Roman"/>
          <w:b/>
          <w:sz w:val="24"/>
        </w:rPr>
        <w:t xml:space="preserve">Output Heads: </w:t>
      </w:r>
      <w:r>
        <w:rPr>
          <w:rFonts w:ascii="Times New Roman" w:hAnsi="Times New Roman"/>
          <w:sz w:val="24"/>
        </w:rPr>
        <w:t>A plurality of linear output heads, each producing a distinct governance signal from the shared encoder's latent representation:</w:t>
      </w:r>
    </w:p>
    <w:p>
      <w:pPr>
        <w:pStyle w:val="ListBullet"/>
      </w:pPr>
      <w:r>
        <w:rPr>
          <w:rFonts w:ascii="Times New Roman" w:hAnsi="Times New Roman"/>
          <w:sz w:val="24"/>
        </w:rPr>
      </w:r>
      <w:r>
        <w:rPr>
          <w:rFonts w:ascii="Times New Roman" w:hAnsi="Times New Roman"/>
          <w:b/>
          <w:sz w:val="24"/>
        </w:rPr>
        <w:t>Trust head:</w:t>
      </w:r>
      <w:r>
        <w:rPr>
          <w:rFonts w:ascii="Times New Roman" w:hAnsi="Times New Roman"/>
          <w:sz w:val="24"/>
        </w:rPr>
        <w:t xml:space="preserve"> Produces a trust score bounded in a predefined range via a squashing activation function.</w:t>
      </w:r>
    </w:p>
    <w:p>
      <w:pPr>
        <w:pStyle w:val="ListBullet"/>
      </w:pPr>
      <w:r>
        <w:rPr>
          <w:rFonts w:ascii="Times New Roman" w:hAnsi="Times New Roman"/>
          <w:sz w:val="24"/>
        </w:rPr>
      </w:r>
      <w:r>
        <w:rPr>
          <w:rFonts w:ascii="Times New Roman" w:hAnsi="Times New Roman"/>
          <w:b/>
          <w:sz w:val="24"/>
        </w:rPr>
        <w:t>Degraded head:</w:t>
      </w:r>
      <w:r>
        <w:rPr>
          <w:rFonts w:ascii="Times New Roman" w:hAnsi="Times New Roman"/>
          <w:sz w:val="24"/>
        </w:rPr>
        <w:t xml:space="preserve"> Produces a raw classification output. Values above a configurable threshold indicate a degraded operating condition.</w:t>
      </w:r>
    </w:p>
    <w:p>
      <w:pPr>
        <w:pStyle w:val="ListBullet"/>
      </w:pPr>
      <w:r>
        <w:rPr>
          <w:rFonts w:ascii="Times New Roman" w:hAnsi="Times New Roman"/>
          <w:sz w:val="24"/>
        </w:rPr>
      </w:r>
      <w:r>
        <w:rPr>
          <w:rFonts w:ascii="Times New Roman" w:hAnsi="Times New Roman"/>
          <w:b/>
          <w:sz w:val="24"/>
        </w:rPr>
        <w:t>Unsafe head:</w:t>
      </w:r>
      <w:r>
        <w:rPr>
          <w:rFonts w:ascii="Times New Roman" w:hAnsi="Times New Roman"/>
          <w:sz w:val="24"/>
        </w:rPr>
        <w:t xml:space="preserve"> Produces a raw classification output. Values above a configurable threshold indicate an unsafe operating condition.</w:t>
      </w:r>
    </w:p>
    <w:p>
      <w:r>
        <w:rPr>
          <w:rFonts w:ascii="Times New Roman" w:hAnsi="Times New Roman"/>
          <w:b/>
          <w:sz w:val="24"/>
        </w:rPr>
        <w:t xml:space="preserve">Weight Storage: </w:t>
      </w:r>
      <w:r>
        <w:rPr>
          <w:rFonts w:ascii="Times New Roman" w:hAnsi="Times New Roman"/>
          <w:sz w:val="24"/>
        </w:rPr>
        <w:t>Weights may be serialized in a binary format comprising a format identifier, a parameter count, and contiguous parameter values. The format may apply scaling to output layer weights during serialization and inverse scaling during deserialization. Weights may also be loaded from standard model checkpoint formats.</w:t>
      </w:r>
    </w:p>
    <w:p>
      <w:pPr>
        <w:pStyle w:val="Heading2"/>
      </w:pPr>
      <w:r>
        <w:rPr>
          <w:rFonts w:ascii="Times New Roman" w:hAnsi="Times New Roman"/>
        </w:rPr>
        <w:t>Enforcement Adapter -- Detailed Description</w:t>
      </w:r>
    </w:p>
    <w:p>
      <w:r>
        <w:rPr>
          <w:rFonts w:ascii="Times New Roman" w:hAnsi="Times New Roman"/>
          <w:sz w:val="24"/>
        </w:rPr>
        <w:t xml:space="preserve">[0051]  </w:t>
      </w:r>
      <w:r>
        <w:rPr>
          <w:rFonts w:ascii="Times New Roman" w:hAnsi="Times New Roman"/>
          <w:sz w:val="24"/>
        </w:rPr>
        <w:t>The enforcement adapter is the critical boundary between the upstream controller and the governance system. It applies constraints to controller outputs without:</w:t>
      </w:r>
    </w:p>
    <w:p>
      <w:pPr>
        <w:pStyle w:val="ListBullet"/>
      </w:pPr>
      <w:r>
        <w:rPr>
          <w:rFonts w:ascii="Times New Roman" w:hAnsi="Times New Roman"/>
          <w:sz w:val="24"/>
        </w:rPr>
        <w:t>Accessing or modifying controller internal logic</w:t>
      </w:r>
    </w:p>
    <w:p>
      <w:pPr>
        <w:pStyle w:val="ListBullet"/>
      </w:pPr>
      <w:r>
        <w:rPr>
          <w:rFonts w:ascii="Times New Roman" w:hAnsi="Times New Roman"/>
          <w:sz w:val="24"/>
        </w:rPr>
        <w:t>Accessing or modifying controller internal state</w:t>
      </w:r>
    </w:p>
    <w:p>
      <w:pPr>
        <w:pStyle w:val="ListBullet"/>
      </w:pPr>
      <w:r>
        <w:rPr>
          <w:rFonts w:ascii="Times New Roman" w:hAnsi="Times New Roman"/>
          <w:sz w:val="24"/>
        </w:rPr>
        <w:t>Interpreting why constraints exist</w:t>
      </w:r>
    </w:p>
    <w:p>
      <w:pPr>
        <w:pStyle w:val="ListBullet"/>
      </w:pPr>
      <w:r>
        <w:rPr>
          <w:rFonts w:ascii="Times New Roman" w:hAnsi="Times New Roman"/>
          <w:sz w:val="24"/>
        </w:rPr>
        <w:t>Performing inference, learning, or control decisions</w:t>
      </w:r>
    </w:p>
    <w:p>
      <w:pPr>
        <w:pStyle w:val="Heading3"/>
      </w:pPr>
      <w:r>
        <w:rPr>
          <w:rFonts w:ascii="Times New Roman" w:hAnsi="Times New Roman"/>
        </w:rPr>
        <w:t>Constraint Severity Hierarchy</w:t>
      </w:r>
    </w:p>
    <w:p>
      <w:r>
        <w:rPr>
          <w:rFonts w:ascii="Times New Roman" w:hAnsi="Times New Roman"/>
          <w:sz w:val="24"/>
        </w:rPr>
        <w:t xml:space="preserve">[0052]  </w:t>
      </w:r>
      <w:r>
        <w:rPr>
          <w:rFonts w:ascii="Times New Roman" w:hAnsi="Times New Roman"/>
          <w:sz w:val="24"/>
        </w:rPr>
        <w:t>The enforcement adapter recognizes a hierarchy of constraint severity levels:</w:t>
      </w:r>
    </w:p>
    <w:p>
      <w:pPr>
        <w:pStyle w:val="ListNumber"/>
      </w:pPr>
      <w:r>
        <w:rPr>
          <w:rFonts w:ascii="Times New Roman" w:hAnsi="Times New Roman"/>
          <w:sz w:val="24"/>
        </w:rPr>
      </w:r>
      <w:r>
        <w:rPr>
          <w:rFonts w:ascii="Times New Roman" w:hAnsi="Times New Roman"/>
          <w:b/>
          <w:sz w:val="24"/>
        </w:rPr>
        <w:t>No modification:</w:t>
      </w:r>
      <w:r>
        <w:rPr>
          <w:rFonts w:ascii="Times New Roman" w:hAnsi="Times New Roman"/>
          <w:sz w:val="24"/>
        </w:rPr>
        <w:t xml:space="preserve"> Control commands pass through unchanged.</w:t>
      </w:r>
    </w:p>
    <w:p>
      <w:pPr>
        <w:pStyle w:val="ListNumber"/>
      </w:pPr>
      <w:r>
        <w:rPr>
          <w:rFonts w:ascii="Times New Roman" w:hAnsi="Times New Roman"/>
          <w:sz w:val="24"/>
        </w:rPr>
      </w:r>
      <w:r>
        <w:rPr>
          <w:rFonts w:ascii="Times New Roman" w:hAnsi="Times New Roman"/>
          <w:b/>
          <w:sz w:val="24"/>
        </w:rPr>
        <w:t>Advisory:</w:t>
      </w:r>
      <w:r>
        <w:rPr>
          <w:rFonts w:ascii="Times New Roman" w:hAnsi="Times New Roman"/>
          <w:sz w:val="24"/>
        </w:rPr>
        <w:t xml:space="preserve"> No modification to commands. The constraint is recorded in the audit trail for informational purposes.</w:t>
      </w:r>
    </w:p>
    <w:p>
      <w:pPr>
        <w:pStyle w:val="ListNumber"/>
      </w:pPr>
      <w:r>
        <w:rPr>
          <w:rFonts w:ascii="Times New Roman" w:hAnsi="Times New Roman"/>
          <w:sz w:val="24"/>
        </w:rPr>
      </w:r>
      <w:r>
        <w:rPr>
          <w:rFonts w:ascii="Times New Roman" w:hAnsi="Times New Roman"/>
          <w:b/>
          <w:sz w:val="24"/>
        </w:rPr>
        <w:t>Bounded scaling:</w:t>
      </w:r>
      <w:r>
        <w:rPr>
          <w:rFonts w:ascii="Times New Roman" w:hAnsi="Times New Roman"/>
          <w:sz w:val="24"/>
        </w:rPr>
        <w:t xml:space="preserve"> The control command is scaled by a configurable authority factor derived from a maximum scaling parameter. The output is clamped to the scaled limit.</w:t>
      </w:r>
    </w:p>
    <w:p>
      <w:pPr>
        <w:pStyle w:val="ListNumber"/>
      </w:pPr>
      <w:r>
        <w:rPr>
          <w:rFonts w:ascii="Times New Roman" w:hAnsi="Times New Roman"/>
          <w:sz w:val="24"/>
        </w:rPr>
      </w:r>
      <w:r>
        <w:rPr>
          <w:rFonts w:ascii="Times New Roman" w:hAnsi="Times New Roman"/>
          <w:b/>
          <w:sz w:val="24"/>
        </w:rPr>
        <w:t>Strict clamping:</w:t>
      </w:r>
      <w:r>
        <w:rPr>
          <w:rFonts w:ascii="Times New Roman" w:hAnsi="Times New Roman"/>
          <w:sz w:val="24"/>
        </w:rPr>
        <w:t xml:space="preserve"> The control command is clamped to a configurable maximum allowed value. If no explicit limit is provided, the command is replaced with a failsafe value (fail-closed behavior).</w:t>
      </w:r>
    </w:p>
    <w:p>
      <w:pPr>
        <w:pStyle w:val="ListNumber"/>
      </w:pPr>
      <w:r>
        <w:rPr>
          <w:rFonts w:ascii="Times New Roman" w:hAnsi="Times New Roman"/>
          <w:sz w:val="24"/>
        </w:rPr>
      </w:r>
      <w:r>
        <w:rPr>
          <w:rFonts w:ascii="Times New Roman" w:hAnsi="Times New Roman"/>
          <w:b/>
          <w:sz w:val="24"/>
        </w:rPr>
        <w:t>Failsafe override:</w:t>
      </w:r>
      <w:r>
        <w:rPr>
          <w:rFonts w:ascii="Times New Roman" w:hAnsi="Times New Roman"/>
          <w:sz w:val="24"/>
        </w:rPr>
        <w:t xml:space="preserve"> The control command is replaced with a predetermined failsafe value regardless of the requested command.</w:t>
      </w:r>
    </w:p>
    <w:p>
      <w:pPr>
        <w:pStyle w:val="Heading3"/>
      </w:pPr>
      <w:r>
        <w:rPr>
          <w:rFonts w:ascii="Times New Roman" w:hAnsi="Times New Roman"/>
        </w:rPr>
        <w:t>Anti-Amplification Invariant</w:t>
      </w:r>
    </w:p>
    <w:p>
      <w:r>
        <w:rPr>
          <w:rFonts w:ascii="Times New Roman" w:hAnsi="Times New Roman"/>
          <w:sz w:val="24"/>
        </w:rPr>
        <w:t xml:space="preserve">[0053]  </w:t>
      </w:r>
      <w:r>
        <w:rPr>
          <w:rFonts w:ascii="Times New Roman" w:hAnsi="Times New Roman"/>
          <w:sz w:val="24"/>
        </w:rPr>
        <w:t>The enforced magnitude of any command never exceeds the requested magnitude. After constraint application, if the enforced output exceeds the original request, the output reverts to the original request. This ensures the enforcement adapter can only attenuate or block, never amplify.</w:t>
      </w:r>
    </w:p>
    <w:p>
      <w:pPr>
        <w:pStyle w:val="Heading3"/>
      </w:pPr>
      <w:r>
        <w:rPr>
          <w:rFonts w:ascii="Times New Roman" w:hAnsi="Times New Roman"/>
        </w:rPr>
        <w:t>Multiple Constraint Resolution</w:t>
      </w:r>
    </w:p>
    <w:p>
      <w:r>
        <w:rPr>
          <w:rFonts w:ascii="Times New Roman" w:hAnsi="Times New Roman"/>
          <w:sz w:val="24"/>
        </w:rPr>
        <w:t xml:space="preserve">[0054]  </w:t>
      </w:r>
      <w:r>
        <w:rPr>
          <w:rFonts w:ascii="Times New Roman" w:hAnsi="Times New Roman"/>
          <w:sz w:val="24"/>
        </w:rPr>
        <w:t>When multiple constraints are applicable, the constraint of highest severity takes precedence. Resolution is deterministic and independent of constraint ordering.</w:t>
      </w:r>
    </w:p>
    <w:p>
      <w:pPr>
        <w:pStyle w:val="Heading3"/>
      </w:pPr>
      <w:r>
        <w:rPr>
          <w:rFonts w:ascii="Times New Roman" w:hAnsi="Times New Roman"/>
        </w:rPr>
        <w:t>Audit Export</w:t>
      </w:r>
    </w:p>
    <w:p>
      <w:r>
        <w:rPr>
          <w:rFonts w:ascii="Times New Roman" w:hAnsi="Times New Roman"/>
          <w:sz w:val="24"/>
        </w:rPr>
        <w:t xml:space="preserve">[0055]  </w:t>
      </w:r>
      <w:r>
        <w:rPr>
          <w:rFonts w:ascii="Times New Roman" w:hAnsi="Times New Roman"/>
          <w:sz w:val="24"/>
        </w:rPr>
        <w:t>Each enforcement decision is exported as an audit record containing the requested command, enforced command, whether constraint was applied, the severity level, and the resulting actuator scale factor.</w:t>
      </w:r>
    </w:p>
    <w:p>
      <w:pPr>
        <w:pStyle w:val="Heading2"/>
      </w:pPr>
      <w:r>
        <w:rPr>
          <w:rFonts w:ascii="Times New Roman" w:hAnsi="Times New Roman"/>
        </w:rPr>
        <w:t>Authority Mapping</w:t>
      </w:r>
    </w:p>
    <w:p>
      <w:r>
        <w:rPr>
          <w:rFonts w:ascii="Times New Roman" w:hAnsi="Times New Roman"/>
          <w:sz w:val="24"/>
        </w:rPr>
        <w:t xml:space="preserve">[0056]  </w:t>
      </w:r>
      <w:r>
        <w:rPr>
          <w:rFonts w:ascii="Times New Roman" w:hAnsi="Times New Roman"/>
          <w:sz w:val="24"/>
        </w:rPr>
        <w:t>Authority is computed as:</w:t>
      </w:r>
    </w:p>
    <w:p>
      <w:r>
        <w:rPr>
          <w:rFonts w:ascii="Courier New" w:hAnsi="Courier New"/>
          <w:sz w:val="20"/>
        </w:rPr>
        <w:t>authority = f(trust)</w:t>
      </w:r>
    </w:p>
    <w:p>
      <w:r>
        <w:rPr>
          <w:rFonts w:ascii="Times New Roman" w:hAnsi="Times New Roman"/>
          <w:sz w:val="24"/>
        </w:rPr>
        <w:t xml:space="preserve">[0057]  </w:t>
      </w:r>
      <w:r>
        <w:rPr>
          <w:rFonts w:ascii="Times New Roman" w:hAnsi="Times New Roman"/>
          <w:sz w:val="24"/>
        </w:rPr>
        <w:t>Where f is a monotonic non-increasing function.</w:t>
      </w:r>
    </w:p>
    <w:p>
      <w:r>
        <w:rPr>
          <w:rFonts w:ascii="Times New Roman" w:hAnsi="Times New Roman"/>
          <w:b/>
          <w:sz w:val="24"/>
        </w:rPr>
        <w:t xml:space="preserve">Properties: </w:t>
      </w:r>
      <w:r>
        <w:rPr>
          <w:rFonts w:ascii="Times New Roman" w:hAnsi="Times New Roman"/>
          <w:sz w:val="24"/>
        </w:rPr>
      </w:r>
    </w:p>
    <w:p>
      <w:pPr>
        <w:pStyle w:val="ListBullet"/>
      </w:pPr>
      <w:r>
        <w:rPr>
          <w:rFonts w:ascii="Times New Roman" w:hAnsi="Times New Roman"/>
          <w:sz w:val="24"/>
        </w:rPr>
        <w:t>Lower trust implies lower authority</w:t>
      </w:r>
    </w:p>
    <w:p>
      <w:pPr>
        <w:pStyle w:val="ListBullet"/>
      </w:pPr>
      <w:r>
        <w:rPr>
          <w:rFonts w:ascii="Times New Roman" w:hAnsi="Times New Roman"/>
          <w:sz w:val="24"/>
        </w:rPr>
        <w:t>Authority is bounded by safety thresholds</w:t>
      </w:r>
    </w:p>
    <w:p>
      <w:pPr>
        <w:pStyle w:val="ListBullet"/>
      </w:pPr>
      <w:r>
        <w:rPr>
          <w:rFonts w:ascii="Times New Roman" w:hAnsi="Times New Roman"/>
          <w:sz w:val="24"/>
        </w:rPr>
        <w:t>Authority cannot exceed nominal control authority</w:t>
      </w:r>
    </w:p>
    <w:p>
      <w:pPr>
        <w:pStyle w:val="ListBullet"/>
      </w:pPr>
      <w:r>
        <w:rPr>
          <w:rFonts w:ascii="Times New Roman" w:hAnsi="Times New Roman"/>
          <w:sz w:val="24"/>
        </w:rPr>
        <w:t>Authority at minimum trust equals zero (complete failsafe)</w:t>
      </w:r>
    </w:p>
    <w:p>
      <w:r>
        <w:rPr>
          <w:rFonts w:ascii="Times New Roman" w:hAnsi="Times New Roman"/>
          <w:sz w:val="24"/>
        </w:rPr>
        <w:t xml:space="preserve">[0058]  </w:t>
      </w:r>
      <w:r>
        <w:rPr>
          <w:rFonts w:ascii="Times New Roman" w:hAnsi="Times New Roman"/>
          <w:sz w:val="24"/>
        </w:rPr>
        <w:t>In one preferred embodiment, authority is mapped through configurable threshold boundaries defining nominal, degraded, and failsafe operating modes with corresponding authority levels.</w:t>
      </w:r>
    </w:p>
    <w:p>
      <w:pPr>
        <w:pStyle w:val="Heading2"/>
      </w:pPr>
      <w:r>
        <w:rPr>
          <w:rFonts w:ascii="Times New Roman" w:hAnsi="Times New Roman"/>
        </w:rPr>
        <w:t>Operating Modes and Recovery</w:t>
      </w:r>
    </w:p>
    <w:p>
      <w:r>
        <w:rPr>
          <w:rFonts w:ascii="Times New Roman" w:hAnsi="Times New Roman"/>
          <w:sz w:val="24"/>
        </w:rPr>
        <w:t xml:space="preserve">[0059]  </w:t>
      </w:r>
      <w:r>
        <w:rPr>
          <w:rFonts w:ascii="Times New Roman" w:hAnsi="Times New Roman"/>
          <w:sz w:val="24"/>
        </w:rPr>
        <w:t>The mode management module selects between operating modes:</w:t>
      </w:r>
    </w:p>
    <w:p>
      <w:pPr>
        <w:pStyle w:val="ListBullet"/>
      </w:pPr>
      <w:r>
        <w:rPr>
          <w:rFonts w:ascii="Times New Roman" w:hAnsi="Times New Roman"/>
          <w:sz w:val="24"/>
        </w:rPr>
      </w:r>
      <w:r>
        <w:rPr>
          <w:rFonts w:ascii="Times New Roman" w:hAnsi="Times New Roman"/>
          <w:b/>
          <w:sz w:val="24"/>
        </w:rPr>
        <w:t>Nominal:</w:t>
      </w:r>
      <w:r>
        <w:rPr>
          <w:rFonts w:ascii="Times New Roman" w:hAnsi="Times New Roman"/>
          <w:sz w:val="24"/>
        </w:rPr>
        <w:t xml:space="preserve"> Full authority. Trust above degraded threshold.</w:t>
      </w:r>
    </w:p>
    <w:p>
      <w:pPr>
        <w:pStyle w:val="ListBullet"/>
      </w:pPr>
      <w:r>
        <w:rPr>
          <w:rFonts w:ascii="Times New Roman" w:hAnsi="Times New Roman"/>
          <w:sz w:val="24"/>
        </w:rPr>
      </w:r>
      <w:r>
        <w:rPr>
          <w:rFonts w:ascii="Times New Roman" w:hAnsi="Times New Roman"/>
          <w:b/>
          <w:sz w:val="24"/>
        </w:rPr>
        <w:t>Degraded:</w:t>
      </w:r>
      <w:r>
        <w:rPr>
          <w:rFonts w:ascii="Times New Roman" w:hAnsi="Times New Roman"/>
          <w:sz w:val="24"/>
        </w:rPr>
        <w:t xml:space="preserve"> Reduced authority via bounded scaling. Trust below degraded but above failsafe threshold.</w:t>
      </w:r>
    </w:p>
    <w:p>
      <w:pPr>
        <w:pStyle w:val="ListBullet"/>
      </w:pPr>
      <w:r>
        <w:rPr>
          <w:rFonts w:ascii="Times New Roman" w:hAnsi="Times New Roman"/>
          <w:sz w:val="24"/>
        </w:rPr>
      </w:r>
      <w:r>
        <w:rPr>
          <w:rFonts w:ascii="Times New Roman" w:hAnsi="Times New Roman"/>
          <w:b/>
          <w:sz w:val="24"/>
        </w:rPr>
        <w:t>Failsafe:</w:t>
      </w:r>
      <w:r>
        <w:rPr>
          <w:rFonts w:ascii="Times New Roman" w:hAnsi="Times New Roman"/>
          <w:sz w:val="24"/>
        </w:rPr>
        <w:t xml:space="preserve"> Minimal authority via failsafe override. Trust below failsafe threshold.</w:t>
      </w:r>
    </w:p>
    <w:p>
      <w:r>
        <w:rPr>
          <w:rFonts w:ascii="Times New Roman" w:hAnsi="Times New Roman"/>
          <w:sz w:val="24"/>
        </w:rPr>
        <w:t xml:space="preserve">[0060]  </w:t>
      </w:r>
      <w:r>
        <w:rPr>
          <w:rFonts w:ascii="Times New Roman" w:hAnsi="Times New Roman"/>
          <w:sz w:val="24"/>
        </w:rPr>
        <w:t>Transitions are deterministic for identical inputs and state.</w:t>
      </w:r>
    </w:p>
    <w:p>
      <w:r>
        <w:rPr>
          <w:rFonts w:ascii="Times New Roman" w:hAnsi="Times New Roman"/>
          <w:sz w:val="24"/>
        </w:rPr>
        <w:t xml:space="preserve">[0061]  </w:t>
      </w:r>
      <w:r>
        <w:rPr>
          <w:rFonts w:ascii="Times New Roman" w:hAnsi="Times New Roman"/>
          <w:sz w:val="24"/>
        </w:rPr>
        <w:t>Recovery from failsafe requires:</w:t>
      </w:r>
    </w:p>
    <w:p>
      <w:pPr>
        <w:pStyle w:val="ListNumber"/>
      </w:pPr>
      <w:r>
        <w:rPr>
          <w:rFonts w:ascii="Times New Roman" w:hAnsi="Times New Roman"/>
          <w:sz w:val="24"/>
        </w:rPr>
        <w:t>Physical conditions returning to within safe bounds.</w:t>
      </w:r>
    </w:p>
    <w:p>
      <w:pPr>
        <w:pStyle w:val="ListNumber"/>
      </w:pPr>
      <w:r>
        <w:rPr>
          <w:rFonts w:ascii="Times New Roman" w:hAnsi="Times New Roman"/>
          <w:sz w:val="24"/>
        </w:rPr>
        <w:t>A configurable dwell period with trust above the recovery threshold.</w:t>
      </w:r>
    </w:p>
    <w:p>
      <w:pPr>
        <w:pStyle w:val="ListNumber"/>
      </w:pPr>
      <w:r>
        <w:rPr>
          <w:rFonts w:ascii="Times New Roman" w:hAnsi="Times New Roman"/>
          <w:sz w:val="24"/>
        </w:rPr>
        <w:t>Modulated recovery rate based on actuator authority level.</w:t>
      </w:r>
    </w:p>
    <w:p>
      <w:pPr>
        <w:pStyle w:val="Heading2"/>
      </w:pPr>
      <w:r>
        <w:rPr>
          <w:rFonts w:ascii="Times New Roman" w:hAnsi="Times New Roman"/>
        </w:rPr>
        <w:t>Formal Safety Envelope</w:t>
      </w:r>
    </w:p>
    <w:p>
      <w:r>
        <w:rPr>
          <w:rFonts w:ascii="Times New Roman" w:hAnsi="Times New Roman"/>
          <w:sz w:val="24"/>
        </w:rPr>
        <w:t xml:space="preserve">[0062]  </w:t>
      </w:r>
      <w:r>
        <w:rPr>
          <w:rFonts w:ascii="Times New Roman" w:hAnsi="Times New Roman"/>
          <w:sz w:val="24"/>
        </w:rPr>
        <w:t>The system enforces a formal safety envelope defined by configurable bounds on allowable system behavior. The safety envelope is:</w:t>
      </w:r>
    </w:p>
    <w:p>
      <w:pPr>
        <w:pStyle w:val="ListBullet"/>
      </w:pPr>
      <w:r>
        <w:rPr>
          <w:rFonts w:ascii="Times New Roman" w:hAnsi="Times New Roman"/>
          <w:sz w:val="24"/>
        </w:rPr>
        <w:t>declared outside of a learned model</w:t>
      </w:r>
    </w:p>
    <w:p>
      <w:pPr>
        <w:pStyle w:val="ListBullet"/>
      </w:pPr>
      <w:r>
        <w:rPr>
          <w:rFonts w:ascii="Times New Roman" w:hAnsi="Times New Roman"/>
          <w:sz w:val="24"/>
        </w:rPr>
        <w:t>immutable at runtime</w:t>
      </w:r>
    </w:p>
    <w:p>
      <w:pPr>
        <w:pStyle w:val="ListBullet"/>
      </w:pPr>
      <w:r>
        <w:rPr>
          <w:rFonts w:ascii="Times New Roman" w:hAnsi="Times New Roman"/>
          <w:sz w:val="24"/>
        </w:rPr>
        <w:t>enforced independently of the trust value</w:t>
      </w:r>
    </w:p>
    <w:p>
      <w:pPr>
        <w:pStyle w:val="ListBullet"/>
      </w:pPr>
      <w:r>
        <w:rPr>
          <w:rFonts w:ascii="Times New Roman" w:hAnsi="Times New Roman"/>
          <w:sz w:val="24"/>
        </w:rPr>
        <w:t>cryptographically bound to the audit chain</w:t>
      </w:r>
    </w:p>
    <w:p>
      <w:r>
        <w:rPr>
          <w:rFonts w:ascii="Times New Roman" w:hAnsi="Times New Roman"/>
          <w:sz w:val="24"/>
        </w:rPr>
        <w:t xml:space="preserve">[0063]  </w:t>
      </w:r>
      <w:r>
        <w:rPr>
          <w:rFonts w:ascii="Times New Roman" w:hAnsi="Times New Roman"/>
          <w:sz w:val="24"/>
        </w:rPr>
        <w:t>Violation of the safety envelope forces the permitted control authority to a failsafe value regardless of trust output.</w:t>
      </w:r>
    </w:p>
    <w:p>
      <w:r>
        <w:rPr>
          <w:rFonts w:ascii="Times New Roman" w:hAnsi="Times New Roman"/>
          <w:sz w:val="24"/>
        </w:rPr>
        <w:t xml:space="preserve">[0064]  </w:t>
      </w:r>
      <w:r>
        <w:rPr>
          <w:rFonts w:ascii="Times New Roman" w:hAnsi="Times New Roman"/>
          <w:sz w:val="24"/>
        </w:rPr>
        <w:t>The safety envelope includes a recovery state machine with three states (inactive, unsafe, recovering) to prevent immediate return to full authority after transient violations.</w:t>
      </w:r>
    </w:p>
    <w:p>
      <w:pPr>
        <w:pStyle w:val="Heading2"/>
      </w:pPr>
      <w:r>
        <w:rPr>
          <w:rFonts w:ascii="Times New Roman" w:hAnsi="Times New Roman"/>
        </w:rPr>
        <w:t>Operational Design Domain (ODD) Handling</w:t>
      </w:r>
    </w:p>
    <w:p>
      <w:r>
        <w:rPr>
          <w:rFonts w:ascii="Times New Roman" w:hAnsi="Times New Roman"/>
          <w:sz w:val="24"/>
        </w:rPr>
        <w:t xml:space="preserve">[0065]  </w:t>
      </w:r>
      <w:r>
        <w:rPr>
          <w:rFonts w:ascii="Times New Roman" w:hAnsi="Times New Roman"/>
          <w:sz w:val="24"/>
        </w:rPr>
        <w:t>The system stores explicit ODD boundaries defining the declared operating domain. If ODD violation is detected:</w:t>
      </w:r>
    </w:p>
    <w:p>
      <w:pPr>
        <w:pStyle w:val="ListBullet"/>
      </w:pPr>
      <w:r>
        <w:rPr>
          <w:rFonts w:ascii="Times New Roman" w:hAnsi="Times New Roman"/>
          <w:sz w:val="24"/>
        </w:rPr>
        <w:t>trust is forced to unsafe</w:t>
      </w:r>
    </w:p>
    <w:p>
      <w:pPr>
        <w:pStyle w:val="ListBullet"/>
      </w:pPr>
      <w:r>
        <w:rPr>
          <w:rFonts w:ascii="Times New Roman" w:hAnsi="Times New Roman"/>
          <w:sz w:val="24"/>
        </w:rPr>
        <w:t>authority is reduced</w:t>
      </w:r>
    </w:p>
    <w:p>
      <w:pPr>
        <w:pStyle w:val="ListBullet"/>
      </w:pPr>
      <w:r>
        <w:rPr>
          <w:rFonts w:ascii="Times New Roman" w:hAnsi="Times New Roman"/>
          <w:sz w:val="24"/>
        </w:rPr>
        <w:t>system enters degraded or failsafe mode</w:t>
      </w:r>
    </w:p>
    <w:p>
      <w:r>
        <w:rPr>
          <w:rFonts w:ascii="Times New Roman" w:hAnsi="Times New Roman"/>
          <w:sz w:val="24"/>
        </w:rPr>
        <w:t xml:space="preserve">[0066]  </w:t>
      </w:r>
      <w:r>
        <w:rPr>
          <w:rFonts w:ascii="Times New Roman" w:hAnsi="Times New Roman"/>
          <w:sz w:val="24"/>
        </w:rPr>
        <w:t>ODD bounds are declared independently of the learning system and are defined by configurable parameters.</w:t>
      </w:r>
    </w:p>
    <w:p>
      <w:pPr>
        <w:pStyle w:val="Heading2"/>
      </w:pPr>
      <w:r>
        <w:rPr>
          <w:rFonts w:ascii="Times New Roman" w:hAnsi="Times New Roman"/>
        </w:rPr>
        <w:t>Failsafe Behavior</w:t>
      </w:r>
    </w:p>
    <w:p>
      <w:r>
        <w:rPr>
          <w:rFonts w:ascii="Times New Roman" w:hAnsi="Times New Roman"/>
          <w:sz w:val="24"/>
        </w:rPr>
        <w:t xml:space="preserve">[0067]  </w:t>
      </w:r>
      <w:r>
        <w:rPr>
          <w:rFonts w:ascii="Times New Roman" w:hAnsi="Times New Roman"/>
          <w:sz w:val="24"/>
        </w:rPr>
        <w:t>Failsafe mode causes:</w:t>
      </w:r>
    </w:p>
    <w:p>
      <w:pPr>
        <w:pStyle w:val="ListBullet"/>
      </w:pPr>
      <w:r>
        <w:rPr>
          <w:rFonts w:ascii="Times New Roman" w:hAnsi="Times New Roman"/>
          <w:sz w:val="24"/>
        </w:rPr>
        <w:t>minimal risk maneuver</w:t>
      </w:r>
    </w:p>
    <w:p>
      <w:pPr>
        <w:pStyle w:val="ListBullet"/>
      </w:pPr>
      <w:r>
        <w:rPr>
          <w:rFonts w:ascii="Times New Roman" w:hAnsi="Times New Roman"/>
          <w:sz w:val="24"/>
        </w:rPr>
        <w:t>controlled deceleration</w:t>
      </w:r>
    </w:p>
    <w:p>
      <w:pPr>
        <w:pStyle w:val="ListBullet"/>
      </w:pPr>
      <w:r>
        <w:rPr>
          <w:rFonts w:ascii="Times New Roman" w:hAnsi="Times New Roman"/>
          <w:sz w:val="24"/>
        </w:rPr>
        <w:t>or actuator neutralization</w:t>
      </w:r>
    </w:p>
    <w:p>
      <w:r>
        <w:rPr>
          <w:rFonts w:ascii="Times New Roman" w:hAnsi="Times New Roman"/>
          <w:sz w:val="24"/>
        </w:rPr>
        <w:t xml:space="preserve">[0068]  </w:t>
      </w:r>
      <w:r>
        <w:rPr>
          <w:rFonts w:ascii="Times New Roman" w:hAnsi="Times New Roman"/>
          <w:sz w:val="24"/>
        </w:rPr>
        <w:t>Failsafe is triggered by:</w:t>
      </w:r>
    </w:p>
    <w:p>
      <w:pPr>
        <w:pStyle w:val="ListBullet"/>
      </w:pPr>
      <w:r>
        <w:rPr>
          <w:rFonts w:ascii="Times New Roman" w:hAnsi="Times New Roman"/>
          <w:sz w:val="24"/>
        </w:rPr>
        <w:t>trust below failsafe threshold</w:t>
      </w:r>
    </w:p>
    <w:p>
      <w:pPr>
        <w:pStyle w:val="ListBullet"/>
      </w:pPr>
      <w:r>
        <w:rPr>
          <w:rFonts w:ascii="Times New Roman" w:hAnsi="Times New Roman"/>
          <w:sz w:val="24"/>
        </w:rPr>
        <w:t>safety envelope violation</w:t>
      </w:r>
    </w:p>
    <w:p>
      <w:pPr>
        <w:pStyle w:val="ListBullet"/>
      </w:pPr>
      <w:r>
        <w:rPr>
          <w:rFonts w:ascii="Times New Roman" w:hAnsi="Times New Roman"/>
          <w:sz w:val="24"/>
        </w:rPr>
        <w:t>ODD violation</w:t>
      </w:r>
    </w:p>
    <w:p>
      <w:pPr>
        <w:pStyle w:val="ListBullet"/>
      </w:pPr>
      <w:r>
        <w:rPr>
          <w:rFonts w:ascii="Times New Roman" w:hAnsi="Times New Roman"/>
          <w:sz w:val="24"/>
        </w:rPr>
        <w:t>internal fault</w:t>
      </w:r>
    </w:p>
    <w:p>
      <w:pPr>
        <w:pStyle w:val="ListBullet"/>
      </w:pPr>
      <w:r>
        <w:rPr>
          <w:rFonts w:ascii="Times New Roman" w:hAnsi="Times New Roman"/>
          <w:sz w:val="24"/>
        </w:rPr>
        <w:t>timing violation</w:t>
      </w:r>
    </w:p>
    <w:p>
      <w:pPr>
        <w:pStyle w:val="Heading2"/>
      </w:pPr>
      <w:r>
        <w:rPr>
          <w:rFonts w:ascii="Times New Roman" w:hAnsi="Times New Roman"/>
        </w:rPr>
        <w:t>Determinism</w:t>
      </w:r>
    </w:p>
    <w:p>
      <w:r>
        <w:rPr>
          <w:rFonts w:ascii="Times New Roman" w:hAnsi="Times New Roman"/>
          <w:sz w:val="24"/>
        </w:rPr>
        <w:t xml:space="preserve">[0069]  </w:t>
      </w:r>
      <w:r>
        <w:rPr>
          <w:rFonts w:ascii="Times New Roman" w:hAnsi="Times New Roman"/>
          <w:sz w:val="24"/>
        </w:rPr>
        <w:t>The invention operates deterministically given identical inputs and state. No stochastic operations exist in the governance path. The invention does not perform online learning in the governance path. The invention does not generate autonomous control commands.</w:t>
      </w:r>
    </w:p>
    <w:p>
      <w:pPr>
        <w:pStyle w:val="Heading2"/>
      </w:pPr>
      <w:r>
        <w:rPr>
          <w:rFonts w:ascii="Times New Roman" w:hAnsi="Times New Roman"/>
        </w:rPr>
        <w:t>Audit and Evidence Integrity</w:t>
      </w:r>
    </w:p>
    <w:p>
      <w:r>
        <w:rPr>
          <w:rFonts w:ascii="Times New Roman" w:hAnsi="Times New Roman"/>
          <w:sz w:val="24"/>
        </w:rPr>
        <w:t xml:space="preserve">[0070]  </w:t>
      </w:r>
      <w:r>
        <w:rPr>
          <w:rFonts w:ascii="Times New Roman" w:hAnsi="Times New Roman"/>
          <w:sz w:val="24"/>
        </w:rPr>
        <w:t>The invention generates a safety record at each runtime step containing:</w:t>
      </w:r>
    </w:p>
    <w:p>
      <w:pPr>
        <w:pStyle w:val="ListBullet"/>
      </w:pPr>
      <w:r>
        <w:rPr>
          <w:rFonts w:ascii="Times New Roman" w:hAnsi="Times New Roman"/>
          <w:sz w:val="24"/>
        </w:rPr>
        <w:t>divergence metrics</w:t>
      </w:r>
    </w:p>
    <w:p>
      <w:pPr>
        <w:pStyle w:val="ListBullet"/>
      </w:pPr>
      <w:r>
        <w:rPr>
          <w:rFonts w:ascii="Times New Roman" w:hAnsi="Times New Roman"/>
          <w:sz w:val="24"/>
        </w:rPr>
        <w:t>trust values (instantaneous, smoothed, neural, composite)</w:t>
      </w:r>
    </w:p>
    <w:p>
      <w:pPr>
        <w:pStyle w:val="ListBullet"/>
      </w:pPr>
      <w:r>
        <w:rPr>
          <w:rFonts w:ascii="Times New Roman" w:hAnsi="Times New Roman"/>
          <w:sz w:val="24"/>
        </w:rPr>
        <w:t>authority value</w:t>
      </w:r>
    </w:p>
    <w:p>
      <w:pPr>
        <w:pStyle w:val="ListBullet"/>
      </w:pPr>
      <w:r>
        <w:rPr>
          <w:rFonts w:ascii="Times New Roman" w:hAnsi="Times New Roman"/>
          <w:sz w:val="24"/>
        </w:rPr>
        <w:t>operating mode</w:t>
      </w:r>
    </w:p>
    <w:p>
      <w:pPr>
        <w:pStyle w:val="ListBullet"/>
      </w:pPr>
      <w:r>
        <w:rPr>
          <w:rFonts w:ascii="Times New Roman" w:hAnsi="Times New Roman"/>
          <w:sz w:val="24"/>
        </w:rPr>
        <w:t>constraint severity applied</w:t>
      </w:r>
    </w:p>
    <w:p>
      <w:pPr>
        <w:pStyle w:val="ListBullet"/>
      </w:pPr>
      <w:r>
        <w:rPr>
          <w:rFonts w:ascii="Times New Roman" w:hAnsi="Times New Roman"/>
          <w:sz w:val="24"/>
        </w:rPr>
        <w:t>requested command</w:t>
      </w:r>
    </w:p>
    <w:p>
      <w:pPr>
        <w:pStyle w:val="ListBullet"/>
      </w:pPr>
      <w:r>
        <w:rPr>
          <w:rFonts w:ascii="Times New Roman" w:hAnsi="Times New Roman"/>
          <w:sz w:val="24"/>
        </w:rPr>
        <w:t>enforced command</w:t>
      </w:r>
    </w:p>
    <w:p>
      <w:pPr>
        <w:pStyle w:val="ListBullet"/>
      </w:pPr>
      <w:r>
        <w:rPr>
          <w:rFonts w:ascii="Times New Roman" w:hAnsi="Times New Roman"/>
          <w:sz w:val="24"/>
        </w:rPr>
        <w:t>actuator scale factor</w:t>
      </w:r>
    </w:p>
    <w:p>
      <w:pPr>
        <w:pStyle w:val="ListBullet"/>
      </w:pPr>
      <w:r>
        <w:rPr>
          <w:rFonts w:ascii="Times New Roman" w:hAnsi="Times New Roman"/>
          <w:sz w:val="24"/>
        </w:rPr>
        <w:t>timestamp</w:t>
      </w:r>
    </w:p>
    <w:p>
      <w:r>
        <w:rPr>
          <w:rFonts w:ascii="Times New Roman" w:hAnsi="Times New Roman"/>
          <w:sz w:val="24"/>
        </w:rPr>
        <w:t xml:space="preserve">[0071]  </w:t>
      </w:r>
      <w:r>
        <w:rPr>
          <w:rFonts w:ascii="Times New Roman" w:hAnsi="Times New Roman"/>
          <w:sz w:val="24"/>
        </w:rPr>
        <w:t>Each safety record is serialized into a canonical representation and cryptographically hashed. The audit artifact generator produces cryptographically chained records such that:</w:t>
      </w:r>
    </w:p>
    <w:p>
      <w:pPr>
        <w:pStyle w:val="ListBullet"/>
      </w:pPr>
      <w:r>
        <w:rPr>
          <w:rFonts w:ascii="Times New Roman" w:hAnsi="Times New Roman"/>
          <w:sz w:val="24"/>
        </w:rPr>
        <w:t>a hash is computed over the current safety state</w:t>
      </w:r>
    </w:p>
    <w:p>
      <w:pPr>
        <w:pStyle w:val="ListBullet"/>
      </w:pPr>
      <w:r>
        <w:rPr>
          <w:rFonts w:ascii="Times New Roman" w:hAnsi="Times New Roman"/>
          <w:sz w:val="24"/>
        </w:rPr>
        <w:t>the hash of the previous safety record is included in the current record</w:t>
      </w:r>
    </w:p>
    <w:p>
      <w:pPr>
        <w:pStyle w:val="ListBullet"/>
      </w:pPr>
      <w:r>
        <w:rPr>
          <w:rFonts w:ascii="Times New Roman" w:hAnsi="Times New Roman"/>
          <w:sz w:val="24"/>
        </w:rPr>
        <w:t>each record therefore commits to all prior records</w:t>
      </w:r>
    </w:p>
    <w:p>
      <w:r>
        <w:rPr>
          <w:rFonts w:ascii="Times New Roman" w:hAnsi="Times New Roman"/>
          <w:sz w:val="24"/>
        </w:rPr>
        <w:t xml:space="preserve">[0072]  </w:t>
      </w:r>
      <w:r>
        <w:rPr>
          <w:rFonts w:ascii="Times New Roman" w:hAnsi="Times New Roman"/>
          <w:sz w:val="24"/>
        </w:rPr>
        <w:t>The safety state hash and previous hash form a causal chain that is tamper-evident. Modification of any record alters all subsequent hashes. For each execution run, a root hash is produced representing the terminal hash of the chain.</w:t>
      </w:r>
    </w:p>
    <w:p>
      <w:r>
        <w:rPr>
          <w:rFonts w:ascii="Times New Roman" w:hAnsi="Times New Roman"/>
          <w:sz w:val="24"/>
        </w:rPr>
        <w:t xml:space="preserve">[0073]  </w:t>
      </w:r>
      <w:r>
        <w:rPr>
          <w:rFonts w:ascii="Times New Roman" w:hAnsi="Times New Roman"/>
          <w:sz w:val="24"/>
        </w:rPr>
        <w:t>This mechanism ensures:</w:t>
      </w:r>
    </w:p>
    <w:p>
      <w:pPr>
        <w:pStyle w:val="ListBullet"/>
      </w:pPr>
      <w:r>
        <w:rPr>
          <w:rFonts w:ascii="Times New Roman" w:hAnsi="Times New Roman"/>
          <w:sz w:val="24"/>
        </w:rPr>
        <w:t>non-repudiation of safety decisions</w:t>
      </w:r>
    </w:p>
    <w:p>
      <w:pPr>
        <w:pStyle w:val="ListBullet"/>
      </w:pPr>
      <w:r>
        <w:rPr>
          <w:rFonts w:ascii="Times New Roman" w:hAnsi="Times New Roman"/>
          <w:sz w:val="24"/>
        </w:rPr>
        <w:t>detection of post-run modification</w:t>
      </w:r>
    </w:p>
    <w:p>
      <w:pPr>
        <w:pStyle w:val="ListBullet"/>
      </w:pPr>
      <w:r>
        <w:rPr>
          <w:rFonts w:ascii="Times New Roman" w:hAnsi="Times New Roman"/>
          <w:sz w:val="24"/>
        </w:rPr>
        <w:t>reproducibility of execution traces</w:t>
      </w:r>
    </w:p>
    <w:p>
      <w:pPr>
        <w:pStyle w:val="ListBullet"/>
      </w:pPr>
      <w:r>
        <w:rPr>
          <w:rFonts w:ascii="Times New Roman" w:hAnsi="Times New Roman"/>
          <w:sz w:val="24"/>
        </w:rPr>
        <w:t>evidentiary integrity for certification, regulatory review, and forensic analysis</w:t>
      </w:r>
    </w:p>
    <w:p>
      <w:pPr>
        <w:pStyle w:val="Heading2"/>
      </w:pPr>
      <w:r>
        <w:rPr>
          <w:rFonts w:ascii="Times New Roman" w:hAnsi="Times New Roman"/>
        </w:rPr>
        <w:t>Enablement</w:t>
      </w:r>
    </w:p>
    <w:p>
      <w:r>
        <w:rPr>
          <w:rFonts w:ascii="Times New Roman" w:hAnsi="Times New Roman"/>
          <w:sz w:val="24"/>
        </w:rPr>
        <w:t xml:space="preserve">[0074]  </w:t>
      </w:r>
      <w:r>
        <w:rPr>
          <w:rFonts w:ascii="Times New Roman" w:hAnsi="Times New Roman"/>
          <w:sz w:val="24"/>
        </w:rPr>
        <w:t>A person skilled in control systems, robotics, or autonomous systems may implement the invention by:</w:t>
      </w:r>
    </w:p>
    <w:p>
      <w:pPr>
        <w:pStyle w:val="ListBullet"/>
      </w:pPr>
      <w:r>
        <w:rPr>
          <w:rFonts w:ascii="Times New Roman" w:hAnsi="Times New Roman"/>
          <w:sz w:val="24"/>
        </w:rPr>
        <w:t>computing divergence between expected and observed behavior</w:t>
      </w:r>
    </w:p>
    <w:p>
      <w:pPr>
        <w:pStyle w:val="ListBullet"/>
      </w:pPr>
      <w:r>
        <w:rPr>
          <w:rFonts w:ascii="Times New Roman" w:hAnsi="Times New Roman"/>
          <w:sz w:val="24"/>
        </w:rPr>
        <w:t>inferring trust using a multi-stage pipeline with physics-based decay, temporal smoothing, and neural inference</w:t>
      </w:r>
    </w:p>
    <w:p>
      <w:pPr>
        <w:pStyle w:val="ListBullet"/>
      </w:pPr>
      <w:r>
        <w:rPr>
          <w:rFonts w:ascii="Times New Roman" w:hAnsi="Times New Roman"/>
          <w:sz w:val="24"/>
        </w:rPr>
        <w:t>mapping trust to authority using a monotonic non-increasing function</w:t>
      </w:r>
    </w:p>
    <w:p>
      <w:pPr>
        <w:pStyle w:val="ListBullet"/>
      </w:pPr>
      <w:r>
        <w:rPr>
          <w:rFonts w:ascii="Times New Roman" w:hAnsi="Times New Roman"/>
          <w:sz w:val="24"/>
        </w:rPr>
        <w:t>enforcing bounded actuation through a controller-agnostic constraint adapter with a severity hierarchy</w:t>
      </w:r>
    </w:p>
    <w:p>
      <w:pPr>
        <w:pStyle w:val="ListBullet"/>
      </w:pPr>
      <w:r>
        <w:rPr>
          <w:rFonts w:ascii="Times New Roman" w:hAnsi="Times New Roman"/>
          <w:sz w:val="24"/>
        </w:rPr>
        <w:t>generating cryptographically chained safety records</w:t>
      </w:r>
    </w:p>
    <w:p>
      <w:r>
        <w:rPr>
          <w:rFonts w:ascii="Times New Roman" w:hAnsi="Times New Roman"/>
          <w:sz w:val="24"/>
        </w:rPr>
        <w:t xml:space="preserve">[0075]  </w:t>
      </w:r>
      <w:r>
        <w:rPr>
          <w:rFonts w:ascii="Times New Roman" w:hAnsi="Times New Roman"/>
          <w:sz w:val="24"/>
        </w:rPr>
        <w:t>No specific controller, planner, perception system, or sensor type is required. The invention is model-agnostic and platform-independent. The enforcement adapter operates without knowledge of the upstream controller's implementation.</w:t>
      </w:r>
    </w:p>
    <w:p>
      <w:pPr>
        <w:pStyle w:val="Heading2"/>
      </w:pPr>
      <w:r>
        <w:rPr>
          <w:rFonts w:ascii="Times New Roman" w:hAnsi="Times New Roman"/>
        </w:rPr>
        <w:t>Example Embodiments</w:t>
      </w:r>
    </w:p>
    <w:p>
      <w:pPr>
        <w:pStyle w:val="Heading3"/>
      </w:pPr>
      <w:r>
        <w:rPr>
          <w:rFonts w:ascii="Times New Roman" w:hAnsi="Times New Roman"/>
        </w:rPr>
        <w:t>Vehicle Embodiment</w:t>
      </w:r>
    </w:p>
    <w:p>
      <w:r>
        <w:rPr>
          <w:rFonts w:ascii="Times New Roman" w:hAnsi="Times New Roman"/>
          <w:sz w:val="24"/>
        </w:rPr>
        <w:t xml:space="preserve">[0076]  </w:t>
      </w:r>
      <w:r>
        <w:rPr>
          <w:rFonts w:ascii="Times New Roman" w:hAnsi="Times New Roman"/>
          <w:sz w:val="24"/>
        </w:rPr>
        <w:t>In one embodiment, the invention is applied to a vehicle. Expected acceleration is compared with measured acceleration. If divergence increases, trust decreases. Authority is reduced. Throttle commands are bounded through the enforcement adapter. If divergence persists or envelope bounds are violated, failsafe mode commands braking. Each time step produces a hashed safety record chained to the prior record.</w:t>
      </w:r>
    </w:p>
    <w:p>
      <w:pPr>
        <w:pStyle w:val="Heading3"/>
      </w:pPr>
      <w:r>
        <w:rPr>
          <w:rFonts w:ascii="Times New Roman" w:hAnsi="Times New Roman"/>
        </w:rPr>
        <w:t>Robotic Embodiment</w:t>
      </w:r>
    </w:p>
    <w:p>
      <w:r>
        <w:rPr>
          <w:rFonts w:ascii="Times New Roman" w:hAnsi="Times New Roman"/>
          <w:sz w:val="24"/>
        </w:rPr>
        <w:t xml:space="preserve">[0077]  </w:t>
      </w:r>
      <w:r>
        <w:rPr>
          <w:rFonts w:ascii="Times New Roman" w:hAnsi="Times New Roman"/>
          <w:sz w:val="24"/>
        </w:rPr>
        <w:t>In another embodiment, the invention is applied to a robotic manipulator. Expected joint trajectories are compared with measured trajectories. The enforcement adapter limits joint torque or velocity based on trust-derived authority constraints.</w:t>
      </w:r>
    </w:p>
    <w:p>
      <w:pPr>
        <w:pStyle w:val="Heading3"/>
      </w:pPr>
      <w:r>
        <w:rPr>
          <w:rFonts w:ascii="Times New Roman" w:hAnsi="Times New Roman"/>
        </w:rPr>
        <w:t>Industrial Control Embodiment</w:t>
      </w:r>
    </w:p>
    <w:p>
      <w:r>
        <w:rPr>
          <w:rFonts w:ascii="Times New Roman" w:hAnsi="Times New Roman"/>
          <w:sz w:val="24"/>
        </w:rPr>
        <w:t xml:space="preserve">[0078]  </w:t>
      </w:r>
      <w:r>
        <w:rPr>
          <w:rFonts w:ascii="Times New Roman" w:hAnsi="Times New Roman"/>
          <w:sz w:val="24"/>
        </w:rPr>
        <w:t>In another embodiment, the invention is applied to an industrial machine. Expected process outputs are compared with measured outputs. The enforcement adapter limits control signals to industrial actuators.</w:t>
      </w:r>
    </w:p>
    <w:p>
      <w:pPr>
        <w:pStyle w:val="Heading3"/>
      </w:pPr>
      <w:r>
        <w:rPr>
          <w:rFonts w:ascii="Times New Roman" w:hAnsi="Times New Roman"/>
        </w:rPr>
        <w:t>Algorithmic Decision Embodiment</w:t>
      </w:r>
    </w:p>
    <w:p>
      <w:r>
        <w:rPr>
          <w:rFonts w:ascii="Times New Roman" w:hAnsi="Times New Roman"/>
          <w:sz w:val="24"/>
        </w:rPr>
        <w:t xml:space="preserve">[0079]  </w:t>
      </w:r>
      <w:r>
        <w:rPr>
          <w:rFonts w:ascii="Times New Roman" w:hAnsi="Times New Roman"/>
          <w:sz w:val="24"/>
        </w:rPr>
        <w:t>In another embodiment, the invention is applied to an algorithmic decision system. Expected behavior or risk metrics are compared with observed behavior. The enforcement adapter limits transaction volume, order execution, or decision scope.</w:t>
      </w:r>
    </w:p>
    <w:p>
      <w:r>
        <w:br w:type="page"/>
      </w:r>
    </w:p>
    <w:p>
      <w:pPr>
        <w:pStyle w:val="Heading1"/>
      </w:pPr>
      <w:r>
        <w:rPr>
          <w:rFonts w:ascii="Times New Roman" w:hAnsi="Times New Roman"/>
        </w:rPr>
        <w:t>CLAIMS</w:t>
      </w:r>
    </w:p>
    <w:p>
      <w:r>
        <w:rPr>
          <w:rFonts w:ascii="Times New Roman" w:hAnsi="Times New Roman"/>
          <w:b w:val="0"/>
          <w:i/>
          <w:sz w:val="24"/>
        </w:rPr>
        <w:t>What is claimed is:</w:t>
      </w:r>
    </w:p>
    <w:p/>
    <w:p>
      <w:pPr>
        <w:ind w:firstLine="720"/>
      </w:pPr>
      <w:r>
        <w:rPr>
          <w:rFonts w:ascii="Times New Roman" w:hAnsi="Times New Roman"/>
          <w:sz w:val="24"/>
        </w:rPr>
        <w:t>1. A system for runtime governance of an autonomous or semi-autonomous system, comprising: a) an expectation interface configured to receive expected system behavior generated by at least one controller, planner, or predictive model; b) an observation interface configured to receive observed system behavior from at least one sensor, estimator, or physical plant; c) a divergence computation module configured to compute a divergence metric between the expected system behavior and the observed system behavior; d) a trust inference module configured to compute a trust value based at least in part on the divergence metric, the trust value being bounded within a predefined range; e) a neural trust inference component within the trust inference module, the neural trust inference component comprising a multi-layer network with a shared encoder and a plurality of output heads, each output head producing a distinct governance signal, wherein at least one output head produces a trust score and at least one additional output head produces a classification signal indicating a degraded or unsafe operating condition; f) an authority mapping module configured to compute a permitted control authority as a monotonic non-increasing function of the trust value; g) an enforcement adapter configured to apply the permitted control authority to at least one control command from an upstream controller before the control command is applied to an actuator, wherein the enforcement adapter is non-bypassable such that all control commands pass through the enforcement adapter prior to actuation, and wherein the enforcement adapter prevents amplification of any control command; h) an audit artifact generator configured to produce, at each time step, a safety state record comprising at least the divergence metric, the trust value, the permitted control authority, the control command, and an enforced control command, and to compute a cryptographic hash of each safety state record and to link each safety state record to a cryptographic hash of a prior safety state record to form a tamper-evident audit chain; wherein the system operates independently of internal logic, parameters, or structure of the controller or predictive model, and wherein the enforcement adapter prevents actuation that exceeds the permitted control authority when the trust value indicates unsafe operation.</w:t>
      </w:r>
    </w:p>
    <w:p>
      <w:pPr>
        <w:ind w:firstLine="720"/>
      </w:pPr>
      <w:r>
        <w:rPr>
          <w:rFonts w:ascii="Times New Roman" w:hAnsi="Times New Roman"/>
          <w:sz w:val="24"/>
        </w:rPr>
        <w:t>2. A method for runtime governance of an autonomous or semi-autonomous system, comprising: a) receiving expected system behavior from a controller or predictive model; b) receiving observed system behavior from at least one sensor or estimator; c) computing a divergence metric between the expected system behavior and the observed system behavior; d) computing an instantaneous trust value from the divergence metric using a bounded decay function; e) computing a smoothed trust value by applying temporal smoothing to the instantaneous trust value over a configurable window; f) computing a neural trust score by processing a feature vector derived from the divergence metric and contextual system state through a multi-layer network having a plurality of output heads; g) computing a composite trust value by combining the smoothed trust value and the neural trust score; h) mapping the composite trust value to a permitted control authority using a monotonic non-increasing function; i) enforcing the permitted control authority on at least one control command prior to actuation through a non-bypassable enforcement path that prevents amplification of said control command, thereby producing an enforced control command; j) generating a cryptographic hash of a safety state comprising at least the divergence metric, the composite trust value, the permitted control authority, and the enforced control command; and k) linking the cryptographic hash to a hash of a prior safety state record to form a tamper-evident audit chain; wherein the method operates independently of internal structure of the controller or predictive model.</w:t>
      </w:r>
    </w:p>
    <w:p>
      <w:pPr>
        <w:ind w:firstLine="720"/>
      </w:pPr>
      <w:r>
        <w:rPr>
          <w:rFonts w:ascii="Times New Roman" w:hAnsi="Times New Roman"/>
          <w:sz w:val="24"/>
        </w:rPr>
        <w:t>3. A non-transitory computer-readable medium storing instructions that, when executed by at least one processor, cause the at least one processor to perform operations comprising: a) computing a divergence metric between expected system behavior received from a controller and observed system behavior received from at least one sensor; b) computing a trust value from the divergence metric using a bounded decay function and temporal smoothing; c) processing a feature vector through a neural trust inference component having a shared encoder and a plurality of output heads to produce a trust score and at least one classification signal indicating an operating condition; d) computing a permitted control authority as a monotonic non-increasing function of the trust value; e) enforcing the permitted control authority on at least one control command through a non-bypassable enforcement path that prevents amplification; f) generating a tamper-evident audit chain by cryptographically hashing each safety state record and linking each hash to a hash of a prior safety state record; and g) selecting an operating mode from a plurality of operating modes based on the trust value, and transitioning between operating modes deterministically.</w:t>
      </w:r>
    </w:p>
    <w:p>
      <w:pPr>
        <w:ind w:firstLine="720"/>
      </w:pPr>
      <w:r>
        <w:rPr>
          <w:rFonts w:ascii="Times New Roman" w:hAnsi="Times New Roman"/>
          <w:sz w:val="24"/>
        </w:rPr>
        <w:t>4. The system of claim 1, wherein the trust inference module computes the trust value through a multi-stage pipeline comprising: computing an instantaneous trust value from the divergence metric using a bounded decay function; computing a smoothed trust value by applying exponential moving average smoothing over a configurable temporal window; and modulating the smoothed trust value with a neural trust score produced by the neural trust inference component.</w:t>
      </w:r>
    </w:p>
    <w:p>
      <w:pPr>
        <w:ind w:firstLine="720"/>
      </w:pPr>
      <w:r>
        <w:rPr>
          <w:rFonts w:ascii="Times New Roman" w:hAnsi="Times New Roman"/>
          <w:sz w:val="24"/>
        </w:rPr>
        <w:t>5. The system of claim 4, wherein the bounded decay function produces a trust value that decreases exponentially as the divergence metric increases, with a configurable decay rate.</w:t>
      </w:r>
    </w:p>
    <w:p>
      <w:pPr>
        <w:ind w:firstLine="720"/>
      </w:pPr>
      <w:r>
        <w:rPr>
          <w:rFonts w:ascii="Times New Roman" w:hAnsi="Times New Roman"/>
          <w:sz w:val="24"/>
        </w:rPr>
        <w:t>6. The system of claim 1, wherein the trust inference module is configured to reduce the trust value when the divergence metric persists above a configurable threshold over multiple consecutive time steps.</w:t>
      </w:r>
    </w:p>
    <w:p>
      <w:pPr>
        <w:ind w:firstLine="720"/>
      </w:pPr>
      <w:r>
        <w:rPr>
          <w:rFonts w:ascii="Times New Roman" w:hAnsi="Times New Roman"/>
          <w:sz w:val="24"/>
        </w:rPr>
        <w:t>7. The system of claim 1, wherein the neural trust inference component receives a feature vector comprising a plurality of elements derived from at least: the divergence metric, a measure of observed dynamics, a temporal measure of trust, and at least one contextual signal describing a physical operating condition.</w:t>
      </w:r>
    </w:p>
    <w:p>
      <w:pPr>
        <w:ind w:firstLine="720"/>
      </w:pPr>
      <w:r>
        <w:rPr>
          <w:rFonts w:ascii="Times New Roman" w:hAnsi="Times New Roman"/>
          <w:sz w:val="24"/>
        </w:rPr>
        <w:t>8. The system of claim 1, further comprising a mode management module configured to select between a plurality of operating modes based on the trust value, the plurality of operating modes comprising at least a nominal mode, a degraded mode, and a failsafe mode, wherein transitions between operating modes are deterministic for identical inputs.</w:t>
      </w:r>
    </w:p>
    <w:p>
      <w:pPr>
        <w:ind w:firstLine="720"/>
      </w:pPr>
      <w:r>
        <w:rPr>
          <w:rFonts w:ascii="Times New Roman" w:hAnsi="Times New Roman"/>
          <w:sz w:val="24"/>
        </w:rPr>
        <w:t>9. The system of claim 8, wherein in the degraded mode, the enforcement adapter scales the control command by a configurable authority factor, and in the failsafe mode, the enforcement adapter replaces the control command with a predetermined failsafe command.</w:t>
      </w:r>
    </w:p>
    <w:p>
      <w:pPr>
        <w:ind w:firstLine="720"/>
      </w:pPr>
      <w:r>
        <w:rPr>
          <w:rFonts w:ascii="Times New Roman" w:hAnsi="Times New Roman"/>
          <w:sz w:val="24"/>
        </w:rPr>
        <w:t>10. The system of claim 1, wherein the enforcement adapter applies a constraint selected from a hierarchy of constraint severity levels, the hierarchy comprising at least an advisory level producing no modification, a bounded scaling level, a strict clamping level, and a failsafe override level, wherein the constraint of highest severity takes precedence when multiple constraints are applicable.</w:t>
      </w:r>
    </w:p>
    <w:p>
      <w:pPr>
        <w:ind w:firstLine="720"/>
      </w:pPr>
      <w:r>
        <w:rPr>
          <w:rFonts w:ascii="Times New Roman" w:hAnsi="Times New Roman"/>
          <w:sz w:val="24"/>
        </w:rPr>
        <w:t>11. The system of claim 1, wherein the enforcement adapter is configured to receive declarative constraints specifying severity, maximum scaling factors, and maximum allowed values, and to enforce said constraints without interpreting the trust value or governance logic that produced them.</w:t>
      </w:r>
    </w:p>
    <w:p>
      <w:pPr>
        <w:ind w:firstLine="720"/>
      </w:pPr>
      <w:r>
        <w:rPr>
          <w:rFonts w:ascii="Times New Roman" w:hAnsi="Times New Roman"/>
          <w:sz w:val="24"/>
        </w:rPr>
        <w:t>12. The system of claim 11, wherein the enforcement adapter applies constraints to control commands generated by any upstream controller without requiring modification of the controller's internal logic, state, or execution semantics.</w:t>
      </w:r>
    </w:p>
    <w:p>
      <w:pPr>
        <w:ind w:firstLine="720"/>
      </w:pPr>
      <w:r>
        <w:rPr>
          <w:rFonts w:ascii="Times New Roman" w:hAnsi="Times New Roman"/>
          <w:sz w:val="24"/>
        </w:rPr>
        <w:t>13. The system of claim 1, further comprising a formal safety envelope defining configurable bounds on allowable system behavior, wherein the safety envelope is declared independently of any learned model, is immutable during runtime operation, and is enforced regardless of the trust value.</w:t>
      </w:r>
    </w:p>
    <w:p>
      <w:pPr>
        <w:ind w:firstLine="720"/>
      </w:pPr>
      <w:r>
        <w:rPr>
          <w:rFonts w:ascii="Times New Roman" w:hAnsi="Times New Roman"/>
          <w:sz w:val="24"/>
        </w:rPr>
        <w:t>14. The system of claim 13, wherein violation of the safety envelope forces the permitted control authority to a failsafe value regardless of the trust value.</w:t>
      </w:r>
    </w:p>
    <w:p>
      <w:pPr>
        <w:ind w:firstLine="720"/>
      </w:pPr>
      <w:r>
        <w:rPr>
          <w:rFonts w:ascii="Times New Roman" w:hAnsi="Times New Roman"/>
          <w:sz w:val="24"/>
        </w:rPr>
        <w:t>15. The system of claim 13, wherein the safety envelope parameters are cryptographically bound to the tamper-evident audit chain.</w:t>
      </w:r>
    </w:p>
    <w:p>
      <w:pPr>
        <w:ind w:firstLine="720"/>
      </w:pPr>
      <w:r>
        <w:rPr>
          <w:rFonts w:ascii="Times New Roman" w:hAnsi="Times New Roman"/>
          <w:sz w:val="24"/>
        </w:rPr>
        <w:t>16. The system of claim 13, further comprising an envelope recovery state machine configured to transition between an inactive state, an unsafe state, and a recovering state, wherein recovery from the unsafe state requires a configurable number of consecutive time steps with no envelope violation before returning to the inactive state.</w:t>
      </w:r>
    </w:p>
    <w:p>
      <w:pPr>
        <w:ind w:firstLine="720"/>
      </w:pPr>
      <w:r>
        <w:rPr>
          <w:rFonts w:ascii="Times New Roman" w:hAnsi="Times New Roman"/>
          <w:sz w:val="24"/>
        </w:rPr>
        <w:t>17. The system of claim 8, wherein recovery from the failsafe mode to the nominal mode requires a configurable dwell period during which the trust value must remain above a recovery threshold, and wherein a rate of recovery is modulated by a current actuator authority level.</w:t>
      </w:r>
    </w:p>
    <w:p>
      <w:pPr>
        <w:ind w:firstLine="720"/>
      </w:pPr>
      <w:r>
        <w:rPr>
          <w:rFonts w:ascii="Times New Roman" w:hAnsi="Times New Roman"/>
          <w:sz w:val="24"/>
        </w:rPr>
        <w:t>18. The system of claim 1, further comprising an operational design domain boundary module configured to determine whether operation is within a declared operating domain, the operating domain being defined by configurable bounds on at least one of: system velocity, environmental conditions, sensor agreement, and operational parameters.</w:t>
      </w:r>
    </w:p>
    <w:p>
      <w:pPr>
        <w:ind w:firstLine="720"/>
      </w:pPr>
      <w:r>
        <w:rPr>
          <w:rFonts w:ascii="Times New Roman" w:hAnsi="Times New Roman"/>
          <w:sz w:val="24"/>
        </w:rPr>
        <w:t>19. The system of claim 18, wherein violation of the declared operating domain forces the trust value to an unsafe value and triggers a mode transition.</w:t>
      </w:r>
    </w:p>
    <w:p>
      <w:pPr>
        <w:ind w:firstLine="720"/>
      </w:pPr>
      <w:r>
        <w:rPr>
          <w:rFonts w:ascii="Times New Roman" w:hAnsi="Times New Roman"/>
          <w:sz w:val="24"/>
        </w:rPr>
        <w:t>20. The system of claim 1, wherein the audit artifact generator produces a root hash representing a terminal cryptographic hash of the tamper-evident audit chain for a runtime session.</w:t>
      </w:r>
    </w:p>
    <w:p>
      <w:pPr>
        <w:ind w:firstLine="720"/>
      </w:pPr>
      <w:r>
        <w:rPr>
          <w:rFonts w:ascii="Times New Roman" w:hAnsi="Times New Roman"/>
          <w:sz w:val="24"/>
        </w:rPr>
        <w:t>21. The system of claim 1, wherein modification of any safety state record in the tamper-evident audit chain alters all subsequent cryptographic hashes in the tamper-evident audit chain.</w:t>
      </w:r>
    </w:p>
    <w:p>
      <w:pPr>
        <w:ind w:firstLine="720"/>
      </w:pPr>
      <w:r>
        <w:rPr>
          <w:rFonts w:ascii="Times New Roman" w:hAnsi="Times New Roman"/>
          <w:sz w:val="24"/>
        </w:rPr>
        <w:t>22. The system of claim 1, wherein the safety state records in the tamper-evident audit chain enable post-event reconstruction of all governance decisions for certification, regulatory review, or forensic analysis.</w:t>
      </w:r>
    </w:p>
    <w:p>
      <w:pPr>
        <w:ind w:firstLine="720"/>
      </w:pPr>
      <w:r>
        <w:rPr>
          <w:rFonts w:ascii="Times New Roman" w:hAnsi="Times New Roman"/>
          <w:sz w:val="24"/>
        </w:rPr>
        <w:t>23. The system of claim 1, wherein the system operates deterministically such that identical inputs and state produce identical trust values, authority constraints, and enforcement decisions.</w:t>
      </w:r>
    </w:p>
    <w:p>
      <w:pPr>
        <w:ind w:firstLine="720"/>
      </w:pPr>
      <w:r>
        <w:rPr>
          <w:rFonts w:ascii="Times New Roman" w:hAnsi="Times New Roman"/>
          <w:sz w:val="24"/>
        </w:rPr>
        <w:t>24. The system of claim 1, wherein the system does not perform online learning in a governance path of the system.</w:t>
      </w:r>
    </w:p>
    <w:p>
      <w:pPr>
        <w:ind w:firstLine="720"/>
      </w:pPr>
      <w:r>
        <w:rPr>
          <w:rFonts w:ascii="Times New Roman" w:hAnsi="Times New Roman"/>
          <w:sz w:val="24"/>
        </w:rPr>
        <w:t>25. The system of claim 1, wherein the system does not generate autonomous control commands.</w:t>
      </w:r>
    </w:p>
    <w:p>
      <w:r>
        <w:br w:type="page"/>
      </w:r>
    </w:p>
    <w:p>
      <w:pPr>
        <w:pStyle w:val="Heading1"/>
      </w:pPr>
      <w:r>
        <w:rPr>
          <w:rFonts w:ascii="Times New Roman" w:hAnsi="Times New Roman"/>
        </w:rPr>
        <w:t>ABSTRACT</w:t>
      </w:r>
    </w:p>
    <w:p>
      <w:r>
        <w:rPr>
          <w:rFonts w:ascii="Times New Roman" w:hAnsi="Times New Roman"/>
          <w:b w:val="0"/>
          <w:i w:val="0"/>
          <w:sz w:val="24"/>
        </w:rPr>
        <w:t>A runtime supervisory governor for autonomous systems computes divergence between expected and observed system behavior, infers trust through a multi-stage pipeline comprising physics-based decay, temporal smoothing, and neural inference using a multi-layer network with a shared encoder and a plurality of output heads producing distinct governance signals. Trust is mapped to bounded control authority via a monotonic non-increasing function. A non-bypassable enforcement adapter applies declarative constraints to actuator commands through a severity hierarchy without modifying controller logic, preventing amplification of requested commands. The system includes a formal safety envelope enforced independently of trust inference, an operational design domain boundary module, deterministic mode management with recovery hysteresis, and a cryptographic audit chain producing tamper-evident records of all governance decisions. The governor operates independently of perception, planning, and control modules, does not generate commands, and does not perform online learning. --- Classification: CONFIDENTIAL -- Internal / NDA Use Only Applicant: The Wayfinder...</w:t>
      </w:r>
    </w:p>
    <w:p>
      <w:r>
        <w:br w:type="page"/>
      </w:r>
    </w:p>
    <w:p>
      <w:pPr>
        <w:pStyle w:val="Heading1"/>
      </w:pPr>
      <w:r>
        <w:rPr>
          <w:rFonts w:ascii="Times New Roman" w:hAnsi="Times New Roman"/>
        </w:rPr>
        <w:t>DRAWINGS</w:t>
      </w:r>
    </w:p>
    <w:p>
      <w:r>
        <w:rPr>
          <w:rFonts w:ascii="Times New Roman" w:hAnsi="Times New Roman"/>
          <w:b/>
          <w:i w:val="0"/>
          <w:sz w:val="24"/>
        </w:rPr>
        <w:t>Total Number of Drawing Sheets: 9</w:t>
      </w:r>
    </w:p>
    <w:p/>
    <w:p>
      <w:pPr>
        <w:jc w:val="center"/>
      </w:pPr>
      <w:r>
        <w:rPr>
          <w:rFonts w:ascii="Times New Roman" w:hAnsi="Times New Roman"/>
          <w:b/>
          <w:sz w:val="28"/>
        </w:rPr>
        <w:t>FIG. 1</w:t>
      </w:r>
    </w:p>
    <w:p>
      <w:pPr>
        <w:jc w:val="center"/>
      </w:pPr>
      <w:r>
        <w:drawing>
          <wp:inline xmlns:a="http://schemas.openxmlformats.org/drawingml/2006/main" xmlns:pic="http://schemas.openxmlformats.org/drawingml/2006/picture">
            <wp:extent cx="5029200" cy="7437048"/>
            <wp:docPr id="1" name="Picture 1"/>
            <wp:cNvGraphicFramePr>
              <a:graphicFrameLocks noChangeAspect="1"/>
            </wp:cNvGraphicFramePr>
            <a:graphic>
              <a:graphicData uri="http://schemas.openxmlformats.org/drawingml/2006/picture">
                <pic:pic>
                  <pic:nvPicPr>
                    <pic:cNvPr id="0" name="fig_01.png"/>
                    <pic:cNvPicPr/>
                  </pic:nvPicPr>
                  <pic:blipFill>
                    <a:blip r:embed="rId10"/>
                    <a:stretch>
                      <a:fillRect/>
                    </a:stretch>
                  </pic:blipFill>
                  <pic:spPr>
                    <a:xfrm>
                      <a:off x="0" y="0"/>
                      <a:ext cx="5029200" cy="7437048"/>
                    </a:xfrm>
                    <a:prstGeom prst="rect"/>
                  </pic:spPr>
                </pic:pic>
              </a:graphicData>
            </a:graphic>
          </wp:inline>
        </w:drawing>
      </w:r>
    </w:p>
    <w:p>
      <w:r>
        <w:br w:type="page"/>
      </w:r>
    </w:p>
    <w:p>
      <w:pPr>
        <w:jc w:val="center"/>
      </w:pPr>
      <w:r>
        <w:rPr>
          <w:rFonts w:ascii="Times New Roman" w:hAnsi="Times New Roman"/>
          <w:b/>
          <w:sz w:val="28"/>
        </w:rPr>
        <w:t>FIG. 2</w:t>
      </w:r>
    </w:p>
    <w:p>
      <w:pPr>
        <w:jc w:val="center"/>
      </w:pPr>
      <w:r>
        <w:drawing>
          <wp:inline xmlns:a="http://schemas.openxmlformats.org/drawingml/2006/main" xmlns:pic="http://schemas.openxmlformats.org/drawingml/2006/picture">
            <wp:extent cx="5029200" cy="451677"/>
            <wp:docPr id="2" name="Picture 2"/>
            <wp:cNvGraphicFramePr>
              <a:graphicFrameLocks noChangeAspect="1"/>
            </wp:cNvGraphicFramePr>
            <a:graphic>
              <a:graphicData uri="http://schemas.openxmlformats.org/drawingml/2006/picture">
                <pic:pic>
                  <pic:nvPicPr>
                    <pic:cNvPr id="0" name="fig_02.png"/>
                    <pic:cNvPicPr/>
                  </pic:nvPicPr>
                  <pic:blipFill>
                    <a:blip r:embed="rId11"/>
                    <a:stretch>
                      <a:fillRect/>
                    </a:stretch>
                  </pic:blipFill>
                  <pic:spPr>
                    <a:xfrm>
                      <a:off x="0" y="0"/>
                      <a:ext cx="5029200" cy="451677"/>
                    </a:xfrm>
                    <a:prstGeom prst="rect"/>
                  </pic:spPr>
                </pic:pic>
              </a:graphicData>
            </a:graphic>
          </wp:inline>
        </w:drawing>
      </w:r>
    </w:p>
    <w:p>
      <w:r>
        <w:br w:type="page"/>
      </w:r>
    </w:p>
    <w:p>
      <w:pPr>
        <w:jc w:val="center"/>
      </w:pPr>
      <w:r>
        <w:rPr>
          <w:rFonts w:ascii="Times New Roman" w:hAnsi="Times New Roman"/>
          <w:b/>
          <w:sz w:val="28"/>
        </w:rPr>
        <w:t>FIG. 3</w:t>
      </w:r>
    </w:p>
    <w:p>
      <w:pPr>
        <w:jc w:val="center"/>
      </w:pPr>
      <w:r>
        <w:drawing>
          <wp:inline xmlns:a="http://schemas.openxmlformats.org/drawingml/2006/main" xmlns:pic="http://schemas.openxmlformats.org/drawingml/2006/picture">
            <wp:extent cx="5029200" cy="4117169"/>
            <wp:docPr id="3" name="Picture 3"/>
            <wp:cNvGraphicFramePr>
              <a:graphicFrameLocks noChangeAspect="1"/>
            </wp:cNvGraphicFramePr>
            <a:graphic>
              <a:graphicData uri="http://schemas.openxmlformats.org/drawingml/2006/picture">
                <pic:pic>
                  <pic:nvPicPr>
                    <pic:cNvPr id="0" name="fig_03.png"/>
                    <pic:cNvPicPr/>
                  </pic:nvPicPr>
                  <pic:blipFill>
                    <a:blip r:embed="rId12"/>
                    <a:stretch>
                      <a:fillRect/>
                    </a:stretch>
                  </pic:blipFill>
                  <pic:spPr>
                    <a:xfrm>
                      <a:off x="0" y="0"/>
                      <a:ext cx="5029200" cy="4117169"/>
                    </a:xfrm>
                    <a:prstGeom prst="rect"/>
                  </pic:spPr>
                </pic:pic>
              </a:graphicData>
            </a:graphic>
          </wp:inline>
        </w:drawing>
      </w:r>
    </w:p>
    <w:p>
      <w:r>
        <w:br w:type="page"/>
      </w:r>
    </w:p>
    <w:p>
      <w:pPr>
        <w:jc w:val="center"/>
      </w:pPr>
      <w:r>
        <w:rPr>
          <w:rFonts w:ascii="Times New Roman" w:hAnsi="Times New Roman"/>
          <w:b/>
          <w:sz w:val="28"/>
        </w:rPr>
        <w:t>FIG. 4</w:t>
      </w:r>
    </w:p>
    <w:p>
      <w:pPr>
        <w:jc w:val="center"/>
      </w:pPr>
      <w:r>
        <w:drawing>
          <wp:inline xmlns:a="http://schemas.openxmlformats.org/drawingml/2006/main" xmlns:pic="http://schemas.openxmlformats.org/drawingml/2006/picture">
            <wp:extent cx="5029200" cy="6159617"/>
            <wp:docPr id="4" name="Picture 4"/>
            <wp:cNvGraphicFramePr>
              <a:graphicFrameLocks noChangeAspect="1"/>
            </wp:cNvGraphicFramePr>
            <a:graphic>
              <a:graphicData uri="http://schemas.openxmlformats.org/drawingml/2006/picture">
                <pic:pic>
                  <pic:nvPicPr>
                    <pic:cNvPr id="0" name="fig_04.png"/>
                    <pic:cNvPicPr/>
                  </pic:nvPicPr>
                  <pic:blipFill>
                    <a:blip r:embed="rId13"/>
                    <a:stretch>
                      <a:fillRect/>
                    </a:stretch>
                  </pic:blipFill>
                  <pic:spPr>
                    <a:xfrm>
                      <a:off x="0" y="0"/>
                      <a:ext cx="5029200" cy="6159617"/>
                    </a:xfrm>
                    <a:prstGeom prst="rect"/>
                  </pic:spPr>
                </pic:pic>
              </a:graphicData>
            </a:graphic>
          </wp:inline>
        </w:drawing>
      </w:r>
    </w:p>
    <w:p>
      <w:r>
        <w:br w:type="page"/>
      </w:r>
    </w:p>
    <w:p>
      <w:pPr>
        <w:jc w:val="center"/>
      </w:pPr>
      <w:r>
        <w:rPr>
          <w:rFonts w:ascii="Times New Roman" w:hAnsi="Times New Roman"/>
          <w:b/>
          <w:sz w:val="28"/>
        </w:rPr>
        <w:t>FIG. 5</w:t>
      </w:r>
    </w:p>
    <w:p>
      <w:pPr>
        <w:jc w:val="center"/>
      </w:pPr>
      <w:r>
        <w:drawing>
          <wp:inline xmlns:a="http://schemas.openxmlformats.org/drawingml/2006/main" xmlns:pic="http://schemas.openxmlformats.org/drawingml/2006/picture">
            <wp:extent cx="5029200" cy="611541"/>
            <wp:docPr id="5" name="Picture 5"/>
            <wp:cNvGraphicFramePr>
              <a:graphicFrameLocks noChangeAspect="1"/>
            </wp:cNvGraphicFramePr>
            <a:graphic>
              <a:graphicData uri="http://schemas.openxmlformats.org/drawingml/2006/picture">
                <pic:pic>
                  <pic:nvPicPr>
                    <pic:cNvPr id="0" name="fig_05.png"/>
                    <pic:cNvPicPr/>
                  </pic:nvPicPr>
                  <pic:blipFill>
                    <a:blip r:embed="rId14"/>
                    <a:stretch>
                      <a:fillRect/>
                    </a:stretch>
                  </pic:blipFill>
                  <pic:spPr>
                    <a:xfrm>
                      <a:off x="0" y="0"/>
                      <a:ext cx="5029200" cy="611541"/>
                    </a:xfrm>
                    <a:prstGeom prst="rect"/>
                  </pic:spPr>
                </pic:pic>
              </a:graphicData>
            </a:graphic>
          </wp:inline>
        </w:drawing>
      </w:r>
    </w:p>
    <w:p>
      <w:r>
        <w:br w:type="page"/>
      </w:r>
    </w:p>
    <w:p>
      <w:pPr>
        <w:jc w:val="center"/>
      </w:pPr>
      <w:r>
        <w:rPr>
          <w:rFonts w:ascii="Times New Roman" w:hAnsi="Times New Roman"/>
          <w:b/>
          <w:sz w:val="28"/>
        </w:rPr>
        <w:t>FIG. 6</w:t>
      </w:r>
    </w:p>
    <w:p>
      <w:pPr>
        <w:jc w:val="center"/>
      </w:pPr>
      <w:r>
        <w:drawing>
          <wp:inline xmlns:a="http://schemas.openxmlformats.org/drawingml/2006/main" xmlns:pic="http://schemas.openxmlformats.org/drawingml/2006/picture">
            <wp:extent cx="5029200" cy="4146698"/>
            <wp:docPr id="6" name="Picture 6"/>
            <wp:cNvGraphicFramePr>
              <a:graphicFrameLocks noChangeAspect="1"/>
            </wp:cNvGraphicFramePr>
            <a:graphic>
              <a:graphicData uri="http://schemas.openxmlformats.org/drawingml/2006/picture">
                <pic:pic>
                  <pic:nvPicPr>
                    <pic:cNvPr id="0" name="fig_06.png"/>
                    <pic:cNvPicPr/>
                  </pic:nvPicPr>
                  <pic:blipFill>
                    <a:blip r:embed="rId15"/>
                    <a:stretch>
                      <a:fillRect/>
                    </a:stretch>
                  </pic:blipFill>
                  <pic:spPr>
                    <a:xfrm>
                      <a:off x="0" y="0"/>
                      <a:ext cx="5029200" cy="4146698"/>
                    </a:xfrm>
                    <a:prstGeom prst="rect"/>
                  </pic:spPr>
                </pic:pic>
              </a:graphicData>
            </a:graphic>
          </wp:inline>
        </w:drawing>
      </w:r>
    </w:p>
    <w:p>
      <w:r>
        <w:br w:type="page"/>
      </w:r>
    </w:p>
    <w:p>
      <w:pPr>
        <w:jc w:val="center"/>
      </w:pPr>
      <w:r>
        <w:rPr>
          <w:rFonts w:ascii="Times New Roman" w:hAnsi="Times New Roman"/>
          <w:b/>
          <w:sz w:val="28"/>
        </w:rPr>
        <w:t>FIG. 7</w:t>
      </w:r>
    </w:p>
    <w:p>
      <w:pPr>
        <w:jc w:val="center"/>
      </w:pPr>
      <w:r>
        <w:drawing>
          <wp:inline xmlns:a="http://schemas.openxmlformats.org/drawingml/2006/main" xmlns:pic="http://schemas.openxmlformats.org/drawingml/2006/picture">
            <wp:extent cx="5029200" cy="3283670"/>
            <wp:docPr id="7" name="Picture 7"/>
            <wp:cNvGraphicFramePr>
              <a:graphicFrameLocks noChangeAspect="1"/>
            </wp:cNvGraphicFramePr>
            <a:graphic>
              <a:graphicData uri="http://schemas.openxmlformats.org/drawingml/2006/picture">
                <pic:pic>
                  <pic:nvPicPr>
                    <pic:cNvPr id="0" name="fig_07.png"/>
                    <pic:cNvPicPr/>
                  </pic:nvPicPr>
                  <pic:blipFill>
                    <a:blip r:embed="rId16"/>
                    <a:stretch>
                      <a:fillRect/>
                    </a:stretch>
                  </pic:blipFill>
                  <pic:spPr>
                    <a:xfrm>
                      <a:off x="0" y="0"/>
                      <a:ext cx="5029200" cy="3283670"/>
                    </a:xfrm>
                    <a:prstGeom prst="rect"/>
                  </pic:spPr>
                </pic:pic>
              </a:graphicData>
            </a:graphic>
          </wp:inline>
        </w:drawing>
      </w:r>
    </w:p>
    <w:p>
      <w:r>
        <w:br w:type="page"/>
      </w:r>
    </w:p>
    <w:p>
      <w:pPr>
        <w:jc w:val="center"/>
      </w:pPr>
      <w:r>
        <w:rPr>
          <w:rFonts w:ascii="Times New Roman" w:hAnsi="Times New Roman"/>
          <w:b/>
          <w:sz w:val="28"/>
        </w:rPr>
        <w:t>FIG. 8</w:t>
      </w:r>
    </w:p>
    <w:p>
      <w:pPr>
        <w:jc w:val="center"/>
      </w:pPr>
      <w:r>
        <w:drawing>
          <wp:inline xmlns:a="http://schemas.openxmlformats.org/drawingml/2006/main" xmlns:pic="http://schemas.openxmlformats.org/drawingml/2006/picture">
            <wp:extent cx="5029200" cy="3681223"/>
            <wp:docPr id="8" name="Picture 8"/>
            <wp:cNvGraphicFramePr>
              <a:graphicFrameLocks noChangeAspect="1"/>
            </wp:cNvGraphicFramePr>
            <a:graphic>
              <a:graphicData uri="http://schemas.openxmlformats.org/drawingml/2006/picture">
                <pic:pic>
                  <pic:nvPicPr>
                    <pic:cNvPr id="0" name="fig_08.png"/>
                    <pic:cNvPicPr/>
                  </pic:nvPicPr>
                  <pic:blipFill>
                    <a:blip r:embed="rId17"/>
                    <a:stretch>
                      <a:fillRect/>
                    </a:stretch>
                  </pic:blipFill>
                  <pic:spPr>
                    <a:xfrm>
                      <a:off x="0" y="0"/>
                      <a:ext cx="5029200" cy="3681223"/>
                    </a:xfrm>
                    <a:prstGeom prst="rect"/>
                  </pic:spPr>
                </pic:pic>
              </a:graphicData>
            </a:graphic>
          </wp:inline>
        </w:drawing>
      </w:r>
    </w:p>
    <w:p>
      <w:r>
        <w:br w:type="page"/>
      </w:r>
    </w:p>
    <w:p>
      <w:pPr>
        <w:jc w:val="center"/>
      </w:pPr>
      <w:r>
        <w:rPr>
          <w:rFonts w:ascii="Times New Roman" w:hAnsi="Times New Roman"/>
          <w:b/>
          <w:sz w:val="28"/>
        </w:rPr>
        <w:t>FIG. 9</w:t>
      </w:r>
    </w:p>
    <w:p>
      <w:pPr>
        <w:jc w:val="center"/>
      </w:pPr>
      <w:r>
        <w:drawing>
          <wp:inline xmlns:a="http://schemas.openxmlformats.org/drawingml/2006/main" xmlns:pic="http://schemas.openxmlformats.org/drawingml/2006/picture">
            <wp:extent cx="5029200" cy="517712"/>
            <wp:docPr id="9" name="Picture 9"/>
            <wp:cNvGraphicFramePr>
              <a:graphicFrameLocks noChangeAspect="1"/>
            </wp:cNvGraphicFramePr>
            <a:graphic>
              <a:graphicData uri="http://schemas.openxmlformats.org/drawingml/2006/picture">
                <pic:pic>
                  <pic:nvPicPr>
                    <pic:cNvPr id="0" name="fig_09.png"/>
                    <pic:cNvPicPr/>
                  </pic:nvPicPr>
                  <pic:blipFill>
                    <a:blip r:embed="rId18"/>
                    <a:stretch>
                      <a:fillRect/>
                    </a:stretch>
                  </pic:blipFill>
                  <pic:spPr>
                    <a:xfrm>
                      <a:off x="0" y="0"/>
                      <a:ext cx="5029200" cy="517712"/>
                    </a:xfrm>
                    <a:prstGeom prst="rect"/>
                  </pic:spPr>
                </pic:pic>
              </a:graphicData>
            </a:graphic>
          </wp:inline>
        </w:drawing>
      </w:r>
    </w:p>
    <w:sectPr w:rsidR="00FC693F" w:rsidRPr="0006063C" w:rsidSect="00034616">
      <w:footerReference w:type="default" r:id="rId9"/>
      <w:pgSz w:w="12240" w:h="15840"/>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