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C80" w:rsidRPr="006A73FA" w:rsidRDefault="008D2C80" w:rsidP="00150270">
      <w:pPr>
        <w:pStyle w:val="a0"/>
      </w:pPr>
      <w:bookmarkStart w:id="0" w:name="_Toc528689313"/>
      <w:r w:rsidRPr="006A73FA">
        <w:rPr>
          <w:rFonts w:hint="eastAsia"/>
        </w:rPr>
        <w:t>对外投资业务管理制度</w:t>
      </w:r>
      <w:bookmarkEnd w:id="0"/>
    </w:p>
    <w:p w:rsidR="008D2C80" w:rsidRPr="006A73FA" w:rsidRDefault="008D2C80" w:rsidP="00150270">
      <w:pPr>
        <w:pStyle w:val="a1"/>
        <w:widowControl w:val="0"/>
      </w:pPr>
      <w:bookmarkStart w:id="1" w:name="_Toc528689314"/>
      <w:r w:rsidRPr="006A73FA">
        <w:rPr>
          <w:rFonts w:hint="eastAsia"/>
        </w:rPr>
        <w:t>总则</w:t>
      </w:r>
      <w:bookmarkEnd w:id="1"/>
    </w:p>
    <w:p w:rsidR="008D2C80" w:rsidRPr="006A73FA" w:rsidRDefault="008D2C80" w:rsidP="00150270">
      <w:pPr>
        <w:pStyle w:val="70"/>
        <w:widowControl w:val="0"/>
        <w:ind w:firstLine="422"/>
      </w:pPr>
      <w:r w:rsidRPr="00333233">
        <w:rPr>
          <w:rFonts w:hint="eastAsia"/>
          <w:b/>
        </w:rPr>
        <w:t>第一条</w:t>
      </w:r>
      <w:r w:rsidR="00333233">
        <w:t xml:space="preserve">  </w:t>
      </w:r>
      <w:r w:rsidRPr="006A73FA">
        <w:rPr>
          <w:rFonts w:hint="eastAsia"/>
        </w:rPr>
        <w:t>为规范</w:t>
      </w:r>
      <w:r w:rsidRPr="006A73FA">
        <w:rPr>
          <w:rFonts w:hint="eastAsia"/>
          <w:color w:val="FF0000"/>
        </w:rPr>
        <w:t>DWQC</w:t>
      </w:r>
      <w:r w:rsidRPr="006A73FA">
        <w:rPr>
          <w:rFonts w:hint="eastAsia"/>
        </w:rPr>
        <w:t>的对外投资行为，有效控制</w:t>
      </w:r>
      <w:r w:rsidRPr="006A73FA">
        <w:rPr>
          <w:rFonts w:hint="eastAsia"/>
          <w:color w:val="FF0000"/>
        </w:rPr>
        <w:t>DWQC</w:t>
      </w:r>
      <w:r w:rsidRPr="006A73FA">
        <w:rPr>
          <w:rFonts w:hint="eastAsia"/>
        </w:rPr>
        <w:t>对外投资风险，提高对外投资效益，根据有关规定，制定本制度。</w:t>
      </w:r>
    </w:p>
    <w:p w:rsidR="008D2C80" w:rsidRPr="006A73FA" w:rsidRDefault="008D2C80" w:rsidP="00150270">
      <w:pPr>
        <w:pStyle w:val="70"/>
        <w:widowControl w:val="0"/>
        <w:ind w:firstLine="422"/>
      </w:pPr>
      <w:r w:rsidRPr="00333233">
        <w:rPr>
          <w:rFonts w:hint="eastAsia"/>
          <w:b/>
        </w:rPr>
        <w:t>第二条</w:t>
      </w:r>
      <w:r w:rsidR="00333233">
        <w:t xml:space="preserve">  </w:t>
      </w:r>
      <w:r w:rsidRPr="006A73FA">
        <w:rPr>
          <w:rFonts w:cs="仿宋" w:hint="eastAsia"/>
        </w:rPr>
        <w:t>本制度所称对外投资是指</w:t>
      </w:r>
      <w:r w:rsidRPr="006A73FA">
        <w:rPr>
          <w:rFonts w:hint="eastAsia"/>
        </w:rPr>
        <w:t>本单位为获取未来收益而将一定数量的货币资金、股权及实物、无形资产等作价出资，对外进行各种形式的投资活动。</w:t>
      </w:r>
    </w:p>
    <w:p w:rsidR="008D2C80" w:rsidRPr="006A73FA" w:rsidRDefault="008D2C80" w:rsidP="00150270">
      <w:pPr>
        <w:pStyle w:val="70"/>
        <w:widowControl w:val="0"/>
        <w:ind w:firstLine="422"/>
      </w:pPr>
      <w:r w:rsidRPr="00333233">
        <w:rPr>
          <w:rFonts w:hint="eastAsia"/>
          <w:b/>
        </w:rPr>
        <w:t>第三条</w:t>
      </w:r>
      <w:r w:rsidR="00333233">
        <w:t xml:space="preserve">  </w:t>
      </w:r>
      <w:r w:rsidRPr="006A73FA">
        <w:rPr>
          <w:rFonts w:cs="仿宋" w:hint="eastAsia"/>
        </w:rPr>
        <w:t>本制度适用于</w:t>
      </w:r>
      <w:r w:rsidRPr="006A73FA">
        <w:rPr>
          <w:rFonts w:hint="eastAsia"/>
          <w:color w:val="FF0000"/>
        </w:rPr>
        <w:t>DWQC</w:t>
      </w:r>
      <w:r w:rsidRPr="006A73FA">
        <w:rPr>
          <w:rFonts w:hint="eastAsia"/>
        </w:rPr>
        <w:t>的一切对外投资行为。</w:t>
      </w:r>
    </w:p>
    <w:p w:rsidR="008D2C80" w:rsidRPr="006A73FA" w:rsidRDefault="008D2C80" w:rsidP="00150270">
      <w:pPr>
        <w:pStyle w:val="70"/>
        <w:widowControl w:val="0"/>
        <w:ind w:firstLine="422"/>
      </w:pPr>
      <w:r w:rsidRPr="00333233">
        <w:rPr>
          <w:rFonts w:hint="eastAsia"/>
          <w:b/>
        </w:rPr>
        <w:t>第四条</w:t>
      </w:r>
      <w:r w:rsidR="00333233">
        <w:t xml:space="preserve">  </w:t>
      </w:r>
      <w:r w:rsidRPr="006A73FA">
        <w:rPr>
          <w:rFonts w:hint="eastAsia"/>
        </w:rPr>
        <w:t>本单位对外投资行为必须符合国家有关法律法规及产业政策，符合本单位发展方向，有利于增强本区经济发展。</w:t>
      </w:r>
    </w:p>
    <w:p w:rsidR="008D2C80" w:rsidRPr="006A73FA" w:rsidRDefault="008D2C80" w:rsidP="00150270">
      <w:pPr>
        <w:pStyle w:val="a1"/>
        <w:widowControl w:val="0"/>
      </w:pPr>
      <w:bookmarkStart w:id="2" w:name="_Toc528689315"/>
      <w:r w:rsidRPr="006A73FA">
        <w:rPr>
          <w:rFonts w:hint="eastAsia"/>
        </w:rPr>
        <w:t>对外投资类型和审批</w:t>
      </w:r>
      <w:bookmarkEnd w:id="2"/>
    </w:p>
    <w:p w:rsidR="008D2C80" w:rsidRPr="006A73FA" w:rsidRDefault="008D2C80" w:rsidP="00150270">
      <w:pPr>
        <w:pStyle w:val="70"/>
        <w:widowControl w:val="0"/>
        <w:ind w:firstLine="422"/>
      </w:pPr>
      <w:r w:rsidRPr="00333233">
        <w:rPr>
          <w:rFonts w:hint="eastAsia"/>
          <w:b/>
        </w:rPr>
        <w:t>第五条</w:t>
      </w:r>
      <w:r w:rsidR="00333233">
        <w:rPr>
          <w:b/>
        </w:rPr>
        <w:t xml:space="preserve">  </w:t>
      </w:r>
      <w:r w:rsidRPr="006A73FA">
        <w:rPr>
          <w:rFonts w:hint="eastAsia"/>
        </w:rPr>
        <w:t>本单位对外投资类型包括但不限于：</w:t>
      </w:r>
    </w:p>
    <w:p w:rsidR="008D2C80" w:rsidRPr="006A73FA" w:rsidRDefault="008D2C80" w:rsidP="00150270">
      <w:pPr>
        <w:pStyle w:val="70"/>
        <w:widowControl w:val="0"/>
      </w:pPr>
      <w:r w:rsidRPr="006A73FA">
        <w:rPr>
          <w:rFonts w:hint="eastAsia"/>
        </w:rPr>
        <w:t>（一）独立兴办企业或独立出资的经营项目；</w:t>
      </w:r>
    </w:p>
    <w:p w:rsidR="008D2C80" w:rsidRPr="006A73FA" w:rsidRDefault="008D2C80" w:rsidP="00150270">
      <w:pPr>
        <w:pStyle w:val="70"/>
        <w:widowControl w:val="0"/>
      </w:pPr>
      <w:r w:rsidRPr="006A73FA">
        <w:rPr>
          <w:rFonts w:hint="eastAsia"/>
        </w:rPr>
        <w:t>（二）出资与其他境内</w:t>
      </w:r>
      <w:proofErr w:type="gramStart"/>
      <w:r w:rsidRPr="006A73FA">
        <w:rPr>
          <w:rFonts w:hint="eastAsia"/>
        </w:rPr>
        <w:t>外独立</w:t>
      </w:r>
      <w:proofErr w:type="gramEnd"/>
      <w:r w:rsidRPr="006A73FA">
        <w:rPr>
          <w:rFonts w:hint="eastAsia"/>
        </w:rPr>
        <w:t>法人实体、自然人成立合资、合作或开发项目；</w:t>
      </w:r>
    </w:p>
    <w:p w:rsidR="008D2C80" w:rsidRPr="006A73FA" w:rsidRDefault="008D2C80" w:rsidP="00150270">
      <w:pPr>
        <w:pStyle w:val="70"/>
        <w:widowControl w:val="0"/>
      </w:pPr>
      <w:r w:rsidRPr="006A73FA">
        <w:rPr>
          <w:rFonts w:hint="eastAsia"/>
        </w:rPr>
        <w:t>（三）通过购买目标企业股权的方式所实施的收购、兼并行为；</w:t>
      </w:r>
    </w:p>
    <w:p w:rsidR="008D2C80" w:rsidRPr="006A73FA" w:rsidRDefault="008D2C80" w:rsidP="00150270">
      <w:pPr>
        <w:pStyle w:val="70"/>
        <w:widowControl w:val="0"/>
      </w:pPr>
      <w:r w:rsidRPr="006A73FA">
        <w:rPr>
          <w:rFonts w:hint="eastAsia"/>
        </w:rPr>
        <w:t>（四）股票、债券、基金投资等；</w:t>
      </w:r>
    </w:p>
    <w:p w:rsidR="008D2C80" w:rsidRPr="006A73FA" w:rsidRDefault="008D2C80" w:rsidP="00150270">
      <w:pPr>
        <w:pStyle w:val="70"/>
        <w:widowControl w:val="0"/>
      </w:pPr>
      <w:r w:rsidRPr="006A73FA">
        <w:rPr>
          <w:rFonts w:hint="eastAsia"/>
        </w:rPr>
        <w:t>（五）法律、法规规定的其他对外投资。</w:t>
      </w:r>
    </w:p>
    <w:p w:rsidR="008D2C80" w:rsidRPr="006A73FA" w:rsidRDefault="008D2C80" w:rsidP="00150270">
      <w:pPr>
        <w:pStyle w:val="70"/>
        <w:widowControl w:val="0"/>
        <w:ind w:firstLine="422"/>
      </w:pPr>
      <w:r w:rsidRPr="00333233">
        <w:rPr>
          <w:rFonts w:hint="eastAsia"/>
          <w:b/>
        </w:rPr>
        <w:t>第六条</w:t>
      </w:r>
      <w:r w:rsidR="00333233">
        <w:t xml:space="preserve">  </w:t>
      </w:r>
      <w:r w:rsidRPr="006A73FA">
        <w:rPr>
          <w:rFonts w:hint="eastAsia"/>
        </w:rPr>
        <w:t>本单位</w:t>
      </w:r>
      <w:r w:rsidR="00F07902">
        <w:rPr>
          <w:rFonts w:hint="eastAsia"/>
          <w:color w:val="FF0000"/>
        </w:rPr>
        <w:t>key_</w:t>
      </w:r>
      <w:r w:rsidRPr="006A73FA">
        <w:rPr>
          <w:rFonts w:hint="eastAsia"/>
          <w:color w:val="FF0000"/>
        </w:rPr>
        <w:t>DZZJGMC</w:t>
      </w:r>
      <w:r w:rsidRPr="006A73FA">
        <w:rPr>
          <w:rFonts w:hint="eastAsia"/>
        </w:rPr>
        <w:t>为本单位对外投资的决策机构，在其权限范围内，依照法律和相关规定对本单位的对外投资做出决策。</w:t>
      </w:r>
    </w:p>
    <w:p w:rsidR="008D2C80" w:rsidRPr="006A73FA" w:rsidRDefault="008D2C80" w:rsidP="00150270">
      <w:pPr>
        <w:pStyle w:val="a1"/>
        <w:widowControl w:val="0"/>
      </w:pPr>
      <w:bookmarkStart w:id="3" w:name="_Toc528689316"/>
      <w:r w:rsidRPr="006A73FA">
        <w:rPr>
          <w:rFonts w:hint="eastAsia"/>
        </w:rPr>
        <w:t>对外投资的管理机构和决策实施</w:t>
      </w:r>
      <w:bookmarkEnd w:id="3"/>
    </w:p>
    <w:p w:rsidR="008D2C80" w:rsidRPr="006A73FA" w:rsidRDefault="008D2C80" w:rsidP="00150270">
      <w:pPr>
        <w:pStyle w:val="70"/>
        <w:widowControl w:val="0"/>
        <w:ind w:firstLine="422"/>
      </w:pPr>
      <w:r w:rsidRPr="00333233">
        <w:rPr>
          <w:rFonts w:hint="eastAsia"/>
          <w:b/>
        </w:rPr>
        <w:t>第七条</w:t>
      </w:r>
      <w:r w:rsidR="00333233">
        <w:t xml:space="preserve">  </w:t>
      </w:r>
      <w:r w:rsidRPr="006A73FA">
        <w:rPr>
          <w:rFonts w:hint="eastAsia"/>
        </w:rPr>
        <w:t>财务科负责统筹、协调和组织召开职工大会的会前审议，并负责审批权限范围内的本单位对外投资。</w:t>
      </w:r>
    </w:p>
    <w:p w:rsidR="008D2C80" w:rsidRPr="006A73FA" w:rsidRDefault="008D2C80" w:rsidP="00150270">
      <w:pPr>
        <w:pStyle w:val="70"/>
        <w:widowControl w:val="0"/>
        <w:ind w:firstLine="422"/>
      </w:pPr>
      <w:r w:rsidRPr="00333233">
        <w:rPr>
          <w:rFonts w:hint="eastAsia"/>
          <w:b/>
        </w:rPr>
        <w:t>第八条</w:t>
      </w:r>
      <w:r w:rsidR="00333233">
        <w:t xml:space="preserve">  </w:t>
      </w:r>
      <w:r w:rsidRPr="006A73FA">
        <w:rPr>
          <w:rFonts w:hint="eastAsia"/>
        </w:rPr>
        <w:t>本单位财务审计负责对外投资的资金和财务管理。</w:t>
      </w:r>
      <w:r w:rsidRPr="006A73FA">
        <w:rPr>
          <w:rFonts w:hint="eastAsia"/>
          <w:color w:val="FF0000"/>
        </w:rPr>
        <w:t>DWQC</w:t>
      </w:r>
      <w:r w:rsidRPr="006A73FA">
        <w:rPr>
          <w:rFonts w:hint="eastAsia"/>
        </w:rPr>
        <w:t>对外投资项目确定后，由本单位财务审计科负责资金预算、筹措、核算、划拨</w:t>
      </w:r>
      <w:r w:rsidRPr="006A73FA">
        <w:rPr>
          <w:rFonts w:hint="eastAsia"/>
        </w:rPr>
        <w:lastRenderedPageBreak/>
        <w:t>及清算，协同有关方面办理出资手续、工商登记、税务登记、银行开户等工作，并实行严格的借款、审批与付款手续。</w:t>
      </w:r>
    </w:p>
    <w:p w:rsidR="008D2C80" w:rsidRPr="006A73FA" w:rsidRDefault="008D2C80" w:rsidP="00150270">
      <w:pPr>
        <w:pStyle w:val="70"/>
        <w:widowControl w:val="0"/>
        <w:ind w:firstLine="422"/>
      </w:pPr>
      <w:r w:rsidRPr="00333233">
        <w:rPr>
          <w:rFonts w:hint="eastAsia"/>
          <w:b/>
        </w:rPr>
        <w:t>第九条</w:t>
      </w:r>
      <w:r w:rsidRPr="006A73FA">
        <w:rPr>
          <w:rFonts w:hint="eastAsia"/>
        </w:rPr>
        <w:t xml:space="preserve"> </w:t>
      </w:r>
      <w:r w:rsidR="00333233">
        <w:t xml:space="preserve"> </w:t>
      </w:r>
      <w:r w:rsidRPr="006A73FA">
        <w:rPr>
          <w:rFonts w:hint="eastAsia"/>
        </w:rPr>
        <w:t>本单位监察室负责对外投资的审计工作，并在年度内部审计工作报告中向审计委员会进行报告。</w:t>
      </w:r>
    </w:p>
    <w:p w:rsidR="008D2C80" w:rsidRPr="006A73FA" w:rsidRDefault="008D2C80" w:rsidP="00150270">
      <w:pPr>
        <w:pStyle w:val="70"/>
        <w:widowControl w:val="0"/>
        <w:ind w:firstLine="422"/>
      </w:pPr>
      <w:r w:rsidRPr="00333233">
        <w:rPr>
          <w:rFonts w:hint="eastAsia"/>
          <w:b/>
        </w:rPr>
        <w:t>第十条</w:t>
      </w:r>
      <w:r w:rsidRPr="006A73FA">
        <w:rPr>
          <w:rFonts w:hint="eastAsia"/>
        </w:rPr>
        <w:t xml:space="preserve"> </w:t>
      </w:r>
      <w:r w:rsidR="00333233">
        <w:t xml:space="preserve"> </w:t>
      </w:r>
      <w:r w:rsidRPr="006A73FA">
        <w:rPr>
          <w:rFonts w:hint="eastAsia"/>
        </w:rPr>
        <w:t>本单位办公室负责保管投资过程中形成的各种决议、合同、协议以及对外投资权益证书等，并建立详细的档案记录，保证文件的安全和完整；并严格按照有关规定履行</w:t>
      </w:r>
      <w:r w:rsidRPr="006A73FA">
        <w:rPr>
          <w:rFonts w:hint="eastAsia"/>
          <w:color w:val="FF0000"/>
        </w:rPr>
        <w:t>DWQC</w:t>
      </w:r>
      <w:r w:rsidRPr="006A73FA">
        <w:rPr>
          <w:rFonts w:hint="eastAsia"/>
        </w:rPr>
        <w:t>对外投资的信息披露义务。</w:t>
      </w:r>
    </w:p>
    <w:p w:rsidR="008D2C80" w:rsidRPr="006A73FA" w:rsidRDefault="008D2C80" w:rsidP="00150270">
      <w:pPr>
        <w:pStyle w:val="70"/>
        <w:widowControl w:val="0"/>
        <w:ind w:firstLine="422"/>
      </w:pPr>
      <w:r w:rsidRPr="00333233">
        <w:rPr>
          <w:rFonts w:hint="eastAsia"/>
          <w:b/>
        </w:rPr>
        <w:t>第十一条</w:t>
      </w:r>
      <w:r w:rsidRPr="006A73FA">
        <w:rPr>
          <w:rFonts w:hint="eastAsia"/>
        </w:rPr>
        <w:t xml:space="preserve"> </w:t>
      </w:r>
      <w:r w:rsidR="00333233">
        <w:t xml:space="preserve"> </w:t>
      </w:r>
      <w:r w:rsidRPr="006A73FA">
        <w:rPr>
          <w:rFonts w:hint="eastAsia"/>
        </w:rPr>
        <w:t>本单位对外投资项目如涉及实物、无形资产等资产需审计评估，应由具有相关从业资格的审计、评估机构对相关资产进行审计、评估。</w:t>
      </w:r>
    </w:p>
    <w:p w:rsidR="008D2C80" w:rsidRPr="006A73FA" w:rsidRDefault="008D2C80" w:rsidP="00150270">
      <w:pPr>
        <w:pStyle w:val="a1"/>
        <w:widowControl w:val="0"/>
      </w:pPr>
      <w:bookmarkStart w:id="4" w:name="_Toc528689317"/>
      <w:r w:rsidRPr="006A73FA">
        <w:rPr>
          <w:rFonts w:hint="eastAsia"/>
        </w:rPr>
        <w:t>对外投资的项目追踪与管理</w:t>
      </w:r>
      <w:bookmarkEnd w:id="4"/>
    </w:p>
    <w:p w:rsidR="008D2C80" w:rsidRPr="006A73FA" w:rsidRDefault="008D2C80" w:rsidP="00150270">
      <w:pPr>
        <w:pStyle w:val="70"/>
        <w:widowControl w:val="0"/>
        <w:ind w:firstLine="422"/>
      </w:pPr>
      <w:r w:rsidRPr="00333233">
        <w:rPr>
          <w:rFonts w:hint="eastAsia"/>
          <w:b/>
        </w:rPr>
        <w:t>第十二条</w:t>
      </w:r>
      <w:r w:rsidR="00333233">
        <w:t xml:space="preserve">  </w:t>
      </w:r>
      <w:r w:rsidRPr="006A73FA">
        <w:rPr>
          <w:rFonts w:hint="eastAsia"/>
        </w:rPr>
        <w:t>本单位应制</w:t>
      </w:r>
      <w:proofErr w:type="gramStart"/>
      <w:r w:rsidRPr="006A73FA">
        <w:rPr>
          <w:rFonts w:hint="eastAsia"/>
        </w:rPr>
        <w:t>订对外</w:t>
      </w:r>
      <w:proofErr w:type="gramEnd"/>
      <w:r w:rsidRPr="006A73FA">
        <w:rPr>
          <w:rFonts w:hint="eastAsia"/>
        </w:rPr>
        <w:t>投资实施方案，明确出资时间、金额、出资方式及责任人员等内容。对外投资实施方案及方案的变更，应当经职工大会审查批准。</w:t>
      </w:r>
    </w:p>
    <w:p w:rsidR="008D2C80" w:rsidRPr="006A73FA" w:rsidRDefault="008D2C80" w:rsidP="00150270">
      <w:pPr>
        <w:pStyle w:val="70"/>
        <w:widowControl w:val="0"/>
        <w:ind w:firstLine="422"/>
      </w:pPr>
      <w:r w:rsidRPr="00333233">
        <w:rPr>
          <w:rFonts w:hint="eastAsia"/>
          <w:b/>
        </w:rPr>
        <w:t>第十三条</w:t>
      </w:r>
      <w:r w:rsidR="00333233">
        <w:t xml:space="preserve">  </w:t>
      </w:r>
      <w:r w:rsidRPr="006A73FA">
        <w:rPr>
          <w:rFonts w:hint="eastAsia"/>
        </w:rPr>
        <w:t>本单位以委托投资方式进行的对外投资，应当对受托企业的资信情况和履约能力进行调查，签订委托投资合同，明确双方的权利、义务和责任，并采取相应的风险防范和控制措施。</w:t>
      </w:r>
    </w:p>
    <w:p w:rsidR="008D2C80" w:rsidRPr="006A73FA" w:rsidRDefault="008D2C80" w:rsidP="00150270">
      <w:pPr>
        <w:pStyle w:val="70"/>
        <w:widowControl w:val="0"/>
        <w:ind w:firstLine="422"/>
      </w:pPr>
      <w:r w:rsidRPr="00333233">
        <w:rPr>
          <w:rFonts w:hint="eastAsia"/>
          <w:b/>
        </w:rPr>
        <w:t>第十四条</w:t>
      </w:r>
      <w:r w:rsidR="00333233">
        <w:t xml:space="preserve">  </w:t>
      </w:r>
      <w:r w:rsidRPr="006A73FA">
        <w:rPr>
          <w:rFonts w:hint="eastAsia"/>
        </w:rPr>
        <w:t>本单位不得使用信贷资金、募集资金进行证券投资，本单位购入的有价证券必须记入本单位名下。本单位财务科负责定期与办公室核对证券投资资金的使用及结存情况。</w:t>
      </w:r>
    </w:p>
    <w:p w:rsidR="008D2C80" w:rsidRPr="006A73FA" w:rsidRDefault="008D2C80" w:rsidP="00150270">
      <w:pPr>
        <w:pStyle w:val="70"/>
        <w:widowControl w:val="0"/>
        <w:ind w:firstLine="422"/>
      </w:pPr>
      <w:r w:rsidRPr="00333233">
        <w:rPr>
          <w:rFonts w:hint="eastAsia"/>
          <w:b/>
        </w:rPr>
        <w:t>第十五条</w:t>
      </w:r>
      <w:r w:rsidR="00333233">
        <w:t xml:space="preserve">  </w:t>
      </w:r>
      <w:r w:rsidRPr="006A73FA">
        <w:rPr>
          <w:rFonts w:hint="eastAsia"/>
        </w:rPr>
        <w:t>本单位财务</w:t>
      </w:r>
      <w:r w:rsidR="00801A16" w:rsidRPr="006A73FA">
        <w:rPr>
          <w:rFonts w:hint="eastAsia"/>
        </w:rPr>
        <w:t>分管领导</w:t>
      </w:r>
      <w:r w:rsidRPr="006A73FA">
        <w:rPr>
          <w:rFonts w:hint="eastAsia"/>
        </w:rPr>
        <w:t>是对外投资方案实施的主要责任人，负责对外投资项目实施的总体计划、组织、监控，并及时向单位</w:t>
      </w:r>
      <w:r w:rsidR="00F07902">
        <w:rPr>
          <w:rFonts w:hint="eastAsia"/>
          <w:color w:val="FF0000"/>
        </w:rPr>
        <w:t>key_</w:t>
      </w:r>
      <w:r w:rsidRPr="006A73FA">
        <w:rPr>
          <w:rFonts w:hint="eastAsia"/>
          <w:color w:val="FF0000"/>
        </w:rPr>
        <w:t>DZZJGMC</w:t>
      </w:r>
      <w:r w:rsidRPr="006A73FA">
        <w:rPr>
          <w:rFonts w:hint="eastAsia"/>
        </w:rPr>
        <w:t>报告进展情况，提出调整建议等</w:t>
      </w:r>
      <w:r w:rsidR="00872427" w:rsidRPr="006A73FA">
        <w:rPr>
          <w:rFonts w:hint="eastAsia"/>
        </w:rPr>
        <w:t>。</w:t>
      </w:r>
    </w:p>
    <w:p w:rsidR="008D2C80" w:rsidRPr="006A73FA" w:rsidRDefault="008D2C80" w:rsidP="00150270">
      <w:pPr>
        <w:pStyle w:val="70"/>
        <w:widowControl w:val="0"/>
        <w:ind w:firstLine="422"/>
      </w:pPr>
      <w:r w:rsidRPr="00333233">
        <w:rPr>
          <w:rFonts w:hint="eastAsia"/>
          <w:b/>
        </w:rPr>
        <w:t>第十六条</w:t>
      </w:r>
      <w:r w:rsidR="00333233">
        <w:t xml:space="preserve">  </w:t>
      </w:r>
      <w:r w:rsidRPr="006A73FA">
        <w:rPr>
          <w:rFonts w:hint="eastAsia"/>
        </w:rPr>
        <w:t>本单位在每年度末对投资进行全面检查，进行定期或专项审计。</w:t>
      </w:r>
    </w:p>
    <w:p w:rsidR="008D2C80" w:rsidRPr="006A73FA" w:rsidRDefault="008D2C80" w:rsidP="00150270">
      <w:pPr>
        <w:pStyle w:val="a1"/>
        <w:widowControl w:val="0"/>
      </w:pPr>
      <w:bookmarkStart w:id="5" w:name="_Toc528689318"/>
      <w:r w:rsidRPr="006A73FA">
        <w:rPr>
          <w:rFonts w:hint="eastAsia"/>
        </w:rPr>
        <w:lastRenderedPageBreak/>
        <w:t>监督检查与责任追究</w:t>
      </w:r>
      <w:bookmarkEnd w:id="5"/>
    </w:p>
    <w:p w:rsidR="008D2C80" w:rsidRPr="006A73FA" w:rsidRDefault="008D2C80" w:rsidP="00150270">
      <w:pPr>
        <w:pStyle w:val="70"/>
        <w:widowControl w:val="0"/>
        <w:ind w:firstLine="422"/>
      </w:pPr>
      <w:r w:rsidRPr="00333233">
        <w:rPr>
          <w:rFonts w:hint="eastAsia"/>
          <w:b/>
        </w:rPr>
        <w:t>第十七条</w:t>
      </w:r>
      <w:r w:rsidR="00333233">
        <w:t xml:space="preserve">  </w:t>
      </w:r>
      <w:r w:rsidRPr="006A73FA">
        <w:rPr>
          <w:rFonts w:hint="eastAsia"/>
        </w:rPr>
        <w:t>本单位财务科应当建立对外投资内部控制的监督检查制度，定期或不定期地进行检查。对外投资内部控制监督检查的内容主要包括：</w:t>
      </w:r>
    </w:p>
    <w:p w:rsidR="008D2C80" w:rsidRPr="006A73FA" w:rsidRDefault="008D2C80" w:rsidP="00150270">
      <w:pPr>
        <w:pStyle w:val="70"/>
        <w:widowControl w:val="0"/>
      </w:pPr>
      <w:r w:rsidRPr="006A73FA">
        <w:rPr>
          <w:rFonts w:hint="eastAsia"/>
        </w:rPr>
        <w:t>（一）对外投资业务相关岗位设置及人员配备情况。重点检查岗位设置是否科学、合理，是否存在不相容职务混岗的现象，以及人员配备是否合理；</w:t>
      </w:r>
    </w:p>
    <w:p w:rsidR="008D2C80" w:rsidRPr="006A73FA" w:rsidRDefault="008D2C80" w:rsidP="00150270">
      <w:pPr>
        <w:pStyle w:val="70"/>
        <w:widowControl w:val="0"/>
      </w:pPr>
      <w:r w:rsidRPr="006A73FA">
        <w:rPr>
          <w:rFonts w:hint="eastAsia"/>
        </w:rPr>
        <w:t>（二）对外投资业务授权审批制度的执行情况。重点检查分级授权是否合理，对外投资的授权批准手续是否健全、是否存在越权审批等违反规定的行为；</w:t>
      </w:r>
    </w:p>
    <w:p w:rsidR="008D2C80" w:rsidRPr="006A73FA" w:rsidRDefault="008D2C80" w:rsidP="00150270">
      <w:pPr>
        <w:pStyle w:val="70"/>
        <w:widowControl w:val="0"/>
      </w:pPr>
      <w:r w:rsidRPr="006A73FA">
        <w:rPr>
          <w:rFonts w:hint="eastAsia"/>
        </w:rPr>
        <w:t>（三）对外投资业务的决策情况。重点检查对外投资决策过程是否符合规定的程序；</w:t>
      </w:r>
    </w:p>
    <w:p w:rsidR="008D2C80" w:rsidRPr="006A73FA" w:rsidRDefault="008D2C80" w:rsidP="00150270">
      <w:pPr>
        <w:pStyle w:val="70"/>
        <w:widowControl w:val="0"/>
      </w:pPr>
      <w:r w:rsidRPr="006A73FA">
        <w:rPr>
          <w:rFonts w:hint="eastAsia"/>
        </w:rPr>
        <w:t>（四）对外投资的执行情况。重点检查各项资产是否按照投资方案投出；</w:t>
      </w:r>
    </w:p>
    <w:p w:rsidR="008D2C80" w:rsidRPr="006A73FA" w:rsidRDefault="008D2C80" w:rsidP="00150270">
      <w:pPr>
        <w:pStyle w:val="70"/>
        <w:widowControl w:val="0"/>
      </w:pPr>
      <w:r w:rsidRPr="006A73FA">
        <w:rPr>
          <w:rFonts w:hint="eastAsia"/>
        </w:rPr>
        <w:t>（五）投资期间获得的投资收益是否及时进行会计处理，以及对外投资权益证书和有关凭证的保管与记录情况；</w:t>
      </w:r>
    </w:p>
    <w:p w:rsidR="008D2C80" w:rsidRPr="006A73FA" w:rsidRDefault="008D2C80" w:rsidP="00150270">
      <w:pPr>
        <w:pStyle w:val="70"/>
        <w:widowControl w:val="0"/>
        <w:ind w:firstLine="422"/>
      </w:pPr>
      <w:r w:rsidRPr="00333233">
        <w:rPr>
          <w:rFonts w:hint="eastAsia"/>
          <w:b/>
        </w:rPr>
        <w:t>第十八条</w:t>
      </w:r>
      <w:r w:rsidR="00333233">
        <w:t xml:space="preserve">  </w:t>
      </w:r>
      <w:r w:rsidRPr="006A73FA">
        <w:rPr>
          <w:rFonts w:hint="eastAsia"/>
        </w:rPr>
        <w:t>对监督检查过程中发现的对外投资业务内部控制中的薄弱环节，本单位财务科应当及时报告，有关部门应当查明原因，采取措施加以纠正和完善。</w:t>
      </w:r>
    </w:p>
    <w:p w:rsidR="008D2C80" w:rsidRPr="006A73FA" w:rsidRDefault="008D2C80" w:rsidP="00150270">
      <w:pPr>
        <w:pStyle w:val="70"/>
        <w:widowControl w:val="0"/>
        <w:ind w:firstLine="422"/>
      </w:pPr>
      <w:r w:rsidRPr="00333233">
        <w:rPr>
          <w:rFonts w:hint="eastAsia"/>
          <w:b/>
        </w:rPr>
        <w:t>第十九条</w:t>
      </w:r>
      <w:r w:rsidR="00333233">
        <w:t xml:space="preserve">  </w:t>
      </w:r>
      <w:r w:rsidRPr="006A73FA">
        <w:rPr>
          <w:rFonts w:cs="仿宋" w:hint="eastAsia"/>
        </w:rPr>
        <w:t>在对外投资过程中，凡出现以下行为造成</w:t>
      </w:r>
      <w:r w:rsidRPr="006A73FA">
        <w:rPr>
          <w:rFonts w:hint="eastAsia"/>
          <w:color w:val="FF0000"/>
        </w:rPr>
        <w:t>DWQC</w:t>
      </w:r>
      <w:r w:rsidRPr="006A73FA">
        <w:rPr>
          <w:rFonts w:hint="eastAsia"/>
        </w:rPr>
        <w:t>投资决策失误、致使</w:t>
      </w:r>
      <w:r w:rsidRPr="006A73FA">
        <w:rPr>
          <w:rFonts w:hint="eastAsia"/>
          <w:color w:val="FF0000"/>
        </w:rPr>
        <w:t>DWQC</w:t>
      </w:r>
      <w:r w:rsidRPr="006A73FA">
        <w:rPr>
          <w:rFonts w:hint="eastAsia"/>
        </w:rPr>
        <w:t>资产遭受损失的任何单位和个人，</w:t>
      </w:r>
      <w:r w:rsidRPr="006A73FA">
        <w:rPr>
          <w:rFonts w:hint="eastAsia"/>
          <w:color w:val="FF0000"/>
        </w:rPr>
        <w:t>DWQC</w:t>
      </w:r>
      <w:r w:rsidRPr="006A73FA">
        <w:rPr>
          <w:rFonts w:hint="eastAsia"/>
        </w:rPr>
        <w:t>将根据具体情况立案调查，并视情节轻重给予警告、罚款或处分。构成犯罪的，将移交司法机关依法追究其刑事责任：</w:t>
      </w:r>
    </w:p>
    <w:p w:rsidR="008D2C80" w:rsidRPr="006A73FA" w:rsidRDefault="008D2C80" w:rsidP="00150270">
      <w:pPr>
        <w:pStyle w:val="70"/>
        <w:widowControl w:val="0"/>
      </w:pPr>
      <w:r w:rsidRPr="006A73FA">
        <w:rPr>
          <w:rFonts w:hint="eastAsia"/>
        </w:rPr>
        <w:t>（一）未按本制度履行报批程序或未经审批擅自投资的；</w:t>
      </w:r>
    </w:p>
    <w:p w:rsidR="008D2C80" w:rsidRPr="006A73FA" w:rsidRDefault="008D2C80" w:rsidP="00150270">
      <w:pPr>
        <w:pStyle w:val="70"/>
        <w:widowControl w:val="0"/>
      </w:pPr>
      <w:r w:rsidRPr="006A73FA">
        <w:rPr>
          <w:rFonts w:hint="eastAsia"/>
        </w:rPr>
        <w:t>（二）因故意或严重过失，致使投资项目造成重大经济损失的；</w:t>
      </w:r>
    </w:p>
    <w:p w:rsidR="008D2C80" w:rsidRPr="006A73FA" w:rsidRDefault="008D2C80" w:rsidP="00150270">
      <w:pPr>
        <w:pStyle w:val="70"/>
        <w:widowControl w:val="0"/>
      </w:pPr>
      <w:r w:rsidRPr="006A73FA">
        <w:rPr>
          <w:rFonts w:hint="eastAsia"/>
        </w:rPr>
        <w:lastRenderedPageBreak/>
        <w:t>（三）与外方恶意串通，造成本单位投资损失的；</w:t>
      </w:r>
    </w:p>
    <w:p w:rsidR="008D2C80" w:rsidRPr="006A73FA" w:rsidRDefault="008D2C80" w:rsidP="00150270">
      <w:pPr>
        <w:pStyle w:val="70"/>
        <w:widowControl w:val="0"/>
      </w:pPr>
      <w:r w:rsidRPr="006A73FA">
        <w:rPr>
          <w:rFonts w:hint="eastAsia"/>
        </w:rPr>
        <w:t>（四）提供虚假报告和材料、玩忽职守、泄露本单位机密以及其它违规违纪行为等。</w:t>
      </w:r>
    </w:p>
    <w:p w:rsidR="008D2C80" w:rsidRPr="006A73FA" w:rsidRDefault="008D2C80" w:rsidP="00150270">
      <w:pPr>
        <w:pStyle w:val="70"/>
        <w:widowControl w:val="0"/>
        <w:ind w:firstLine="422"/>
      </w:pPr>
      <w:r w:rsidRPr="00333233">
        <w:rPr>
          <w:rFonts w:hint="eastAsia"/>
          <w:b/>
        </w:rPr>
        <w:t>第二十条</w:t>
      </w:r>
      <w:r w:rsidR="00333233">
        <w:t xml:space="preserve">  </w:t>
      </w:r>
      <w:r w:rsidRPr="006A73FA">
        <w:rPr>
          <w:rFonts w:hint="eastAsia"/>
        </w:rPr>
        <w:t>本单位委派出人员应切实履行其职责，如因失当造成本单位投资损失的，将按本单位有关制度规定，追究当事人的责任。</w:t>
      </w:r>
    </w:p>
    <w:p w:rsidR="008D2C80" w:rsidRPr="006A73FA" w:rsidRDefault="008D2C80" w:rsidP="00150270">
      <w:pPr>
        <w:pStyle w:val="70"/>
        <w:widowControl w:val="0"/>
        <w:ind w:firstLine="422"/>
      </w:pPr>
      <w:r w:rsidRPr="00333233">
        <w:rPr>
          <w:rFonts w:hint="eastAsia"/>
          <w:b/>
        </w:rPr>
        <w:t>第二十一条</w:t>
      </w:r>
      <w:r w:rsidR="00333233">
        <w:t xml:space="preserve">  </w:t>
      </w:r>
      <w:r w:rsidRPr="006A73FA">
        <w:rPr>
          <w:rFonts w:hint="eastAsia"/>
        </w:rPr>
        <w:t>本单位</w:t>
      </w:r>
      <w:r w:rsidR="00F07902">
        <w:rPr>
          <w:rFonts w:hint="eastAsia"/>
          <w:color w:val="FF0000"/>
        </w:rPr>
        <w:t>key_</w:t>
      </w:r>
      <w:r w:rsidRPr="006A73FA">
        <w:rPr>
          <w:rFonts w:hint="eastAsia"/>
          <w:color w:val="FF0000"/>
        </w:rPr>
        <w:t>DZZJGMC</w:t>
      </w:r>
      <w:r w:rsidRPr="006A73FA">
        <w:rPr>
          <w:rFonts w:hint="eastAsia"/>
        </w:rPr>
        <w:t>、相关科室负责人应当审慎对待和严格控制投资行为产生的各种风险，对违规或失当的投资行为负有主管责任或直接责任的上述人员应对该项错误投资行为造成的损失依法承担责任。</w:t>
      </w:r>
    </w:p>
    <w:p w:rsidR="008D2C80" w:rsidRPr="006A73FA" w:rsidRDefault="008D2C80" w:rsidP="00150270">
      <w:pPr>
        <w:pStyle w:val="70"/>
        <w:widowControl w:val="0"/>
      </w:pPr>
      <w:r w:rsidRPr="006A73FA">
        <w:rPr>
          <w:rFonts w:hint="eastAsia"/>
        </w:rPr>
        <w:t>上述人员未按本制度规定程序擅自越权审批投资项目，对本单位造成损害的，应当追究当事人的经济责任和行政责任。</w:t>
      </w:r>
    </w:p>
    <w:p w:rsidR="008D2C80" w:rsidRPr="006A73FA" w:rsidRDefault="008D2C80" w:rsidP="00150270">
      <w:pPr>
        <w:pStyle w:val="70"/>
        <w:widowControl w:val="0"/>
        <w:ind w:firstLine="422"/>
      </w:pPr>
      <w:r w:rsidRPr="00333233">
        <w:rPr>
          <w:rFonts w:hint="eastAsia"/>
          <w:b/>
        </w:rPr>
        <w:t>第二十二条</w:t>
      </w:r>
      <w:r w:rsidR="00333233">
        <w:t xml:space="preserve">  </w:t>
      </w:r>
      <w:r w:rsidRPr="006A73FA">
        <w:rPr>
          <w:rFonts w:hint="eastAsia"/>
        </w:rPr>
        <w:t>责任单位或责任人</w:t>
      </w:r>
      <w:proofErr w:type="gramStart"/>
      <w:r w:rsidRPr="006A73FA">
        <w:rPr>
          <w:rFonts w:hint="eastAsia"/>
        </w:rPr>
        <w:t>怠</w:t>
      </w:r>
      <w:proofErr w:type="gramEnd"/>
      <w:r w:rsidRPr="006A73FA">
        <w:rPr>
          <w:rFonts w:hint="eastAsia"/>
        </w:rPr>
        <w:t>于行使职责，给本单位造成损失的，可视情节轻重给予包括经济处罚在内的处分并承担赔偿责任。</w:t>
      </w:r>
    </w:p>
    <w:p w:rsidR="008D2C80" w:rsidRPr="006A73FA" w:rsidRDefault="008D2C80" w:rsidP="00150270">
      <w:pPr>
        <w:pStyle w:val="70"/>
        <w:widowControl w:val="0"/>
        <w:ind w:firstLine="422"/>
      </w:pPr>
      <w:r w:rsidRPr="00333233">
        <w:rPr>
          <w:rFonts w:hint="eastAsia"/>
          <w:b/>
        </w:rPr>
        <w:t>第二十三条</w:t>
      </w:r>
      <w:r w:rsidR="00333233">
        <w:t xml:space="preserve">  </w:t>
      </w:r>
      <w:r w:rsidRPr="006A73FA">
        <w:rPr>
          <w:rFonts w:hint="eastAsia"/>
        </w:rPr>
        <w:t>对在投资项目实施过程中及实施完成后，拒不接受</w:t>
      </w:r>
      <w:r w:rsidRPr="006A73FA">
        <w:rPr>
          <w:rFonts w:hint="eastAsia"/>
          <w:color w:val="FF0000"/>
        </w:rPr>
        <w:t>DWQC</w:t>
      </w:r>
      <w:r w:rsidRPr="006A73FA">
        <w:rPr>
          <w:rFonts w:hint="eastAsia"/>
        </w:rPr>
        <w:t>内部审计或</w:t>
      </w:r>
      <w:r w:rsidRPr="006A73FA">
        <w:rPr>
          <w:rFonts w:hint="eastAsia"/>
          <w:color w:val="FF0000"/>
        </w:rPr>
        <w:t>DWQC</w:t>
      </w:r>
      <w:r w:rsidRPr="006A73FA">
        <w:rPr>
          <w:rFonts w:hint="eastAsia"/>
        </w:rPr>
        <w:t>聘请的中介机构的外部审计的负责人，</w:t>
      </w:r>
      <w:r w:rsidRPr="006A73FA">
        <w:rPr>
          <w:rFonts w:hint="eastAsia"/>
          <w:color w:val="FF0000"/>
        </w:rPr>
        <w:t>DWQC</w:t>
      </w:r>
      <w:r w:rsidRPr="006A73FA">
        <w:rPr>
          <w:rFonts w:hint="eastAsia"/>
        </w:rPr>
        <w:t>可依照有关法律、法规的规定并根据具体情况对其进行处理。</w:t>
      </w:r>
    </w:p>
    <w:p w:rsidR="008D2C80" w:rsidRPr="006A73FA" w:rsidRDefault="008D2C80" w:rsidP="00150270">
      <w:pPr>
        <w:pStyle w:val="70"/>
        <w:widowControl w:val="0"/>
        <w:ind w:firstLine="422"/>
      </w:pPr>
      <w:r w:rsidRPr="00333233">
        <w:rPr>
          <w:rFonts w:hint="eastAsia"/>
          <w:b/>
        </w:rPr>
        <w:t>第二十四条</w:t>
      </w:r>
      <w:r w:rsidR="00333233">
        <w:t xml:space="preserve">  </w:t>
      </w:r>
      <w:r w:rsidRPr="006A73FA">
        <w:rPr>
          <w:rFonts w:hint="eastAsia"/>
        </w:rPr>
        <w:t>本单位</w:t>
      </w:r>
      <w:r w:rsidR="00F07902">
        <w:rPr>
          <w:rFonts w:hint="eastAsia"/>
          <w:color w:val="FF0000"/>
        </w:rPr>
        <w:t>key_</w:t>
      </w:r>
      <w:bookmarkStart w:id="6" w:name="_GoBack"/>
      <w:bookmarkEnd w:id="6"/>
      <w:r w:rsidRPr="006A73FA">
        <w:rPr>
          <w:rFonts w:hint="eastAsia"/>
          <w:color w:val="FF0000"/>
        </w:rPr>
        <w:t>DZZJGMC</w:t>
      </w:r>
      <w:r w:rsidRPr="006A73FA">
        <w:rPr>
          <w:rFonts w:hint="eastAsia"/>
        </w:rPr>
        <w:t>应及时了解投资项目的执行进展和投资效益情况，如出现未按计划投资、未能实现项目预期收益、投资发生损失等情况，本单位</w:t>
      </w:r>
      <w:r w:rsidR="00F07902">
        <w:rPr>
          <w:rFonts w:hint="eastAsia"/>
          <w:color w:val="FF0000"/>
        </w:rPr>
        <w:t>key_</w:t>
      </w:r>
      <w:r w:rsidRPr="006A73FA">
        <w:rPr>
          <w:rFonts w:hint="eastAsia"/>
          <w:color w:val="FF0000"/>
        </w:rPr>
        <w:t>DZZJGMC</w:t>
      </w:r>
      <w:r w:rsidRPr="006A73FA">
        <w:rPr>
          <w:rFonts w:hint="eastAsia"/>
        </w:rPr>
        <w:t>应查明原因，追究有关人员的责任。</w:t>
      </w:r>
    </w:p>
    <w:p w:rsidR="008D2C80" w:rsidRPr="006A73FA" w:rsidRDefault="008D2C80" w:rsidP="00150270">
      <w:pPr>
        <w:pStyle w:val="a1"/>
        <w:widowControl w:val="0"/>
      </w:pPr>
      <w:bookmarkStart w:id="7" w:name="_Toc528689319"/>
      <w:r w:rsidRPr="006A73FA">
        <w:rPr>
          <w:rFonts w:hint="eastAsia"/>
        </w:rPr>
        <w:t>附则</w:t>
      </w:r>
      <w:bookmarkEnd w:id="7"/>
    </w:p>
    <w:p w:rsidR="008D2C80" w:rsidRPr="006A73FA" w:rsidRDefault="008D2C80" w:rsidP="00150270">
      <w:pPr>
        <w:pStyle w:val="70"/>
        <w:widowControl w:val="0"/>
        <w:ind w:firstLine="422"/>
      </w:pPr>
      <w:r w:rsidRPr="00333233">
        <w:rPr>
          <w:rFonts w:hint="eastAsia"/>
          <w:b/>
        </w:rPr>
        <w:t>第二十五条</w:t>
      </w:r>
      <w:r w:rsidR="00333233">
        <w:t xml:space="preserve">  </w:t>
      </w:r>
      <w:r w:rsidRPr="006A73FA">
        <w:rPr>
          <w:rFonts w:hint="eastAsia"/>
        </w:rPr>
        <w:t>本制度由本单位</w:t>
      </w:r>
      <w:r w:rsidR="00F07902">
        <w:rPr>
          <w:rFonts w:hint="eastAsia"/>
          <w:color w:val="FF0000"/>
        </w:rPr>
        <w:t>key_</w:t>
      </w:r>
      <w:r w:rsidRPr="006A73FA">
        <w:rPr>
          <w:rFonts w:hint="eastAsia"/>
          <w:color w:val="FF0000"/>
        </w:rPr>
        <w:t>DZZJGMC</w:t>
      </w:r>
      <w:r w:rsidRPr="006A73FA">
        <w:rPr>
          <w:rFonts w:hint="eastAsia"/>
        </w:rPr>
        <w:t>负责解释。</w:t>
      </w:r>
    </w:p>
    <w:p w:rsidR="008D2C80" w:rsidRPr="006A73FA" w:rsidRDefault="008D2C80" w:rsidP="00150270">
      <w:pPr>
        <w:pStyle w:val="70"/>
        <w:widowControl w:val="0"/>
        <w:ind w:firstLine="422"/>
      </w:pPr>
      <w:r w:rsidRPr="00333233">
        <w:rPr>
          <w:rFonts w:hint="eastAsia"/>
          <w:b/>
        </w:rPr>
        <w:t>第二十六条</w:t>
      </w:r>
      <w:r w:rsidR="00333233">
        <w:t xml:space="preserve">  </w:t>
      </w:r>
      <w:r w:rsidRPr="006A73FA">
        <w:rPr>
          <w:rFonts w:hint="eastAsia"/>
        </w:rPr>
        <w:t>本制度经本单位职工大会批准后生效。</w:t>
      </w:r>
    </w:p>
    <w:sectPr w:rsidR="008D2C80" w:rsidRPr="006A73FA" w:rsidSect="00974300">
      <w:footerReference w:type="default" r:id="rId8"/>
      <w:pgSz w:w="10318" w:h="14570"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01B" w:rsidRDefault="00A2701B" w:rsidP="00CC4A3A">
      <w:r>
        <w:separator/>
      </w:r>
    </w:p>
  </w:endnote>
  <w:endnote w:type="continuationSeparator" w:id="0">
    <w:p w:rsidR="00A2701B" w:rsidRDefault="00A2701B"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080762"/>
      <w:docPartObj>
        <w:docPartGallery w:val="Page Numbers (Bottom of Page)"/>
        <w:docPartUnique/>
      </w:docPartObj>
    </w:sdtPr>
    <w:sdtEndPr/>
    <w:sdtContent>
      <w:sdt>
        <w:sdtPr>
          <w:id w:val="784772038"/>
          <w:docPartObj>
            <w:docPartGallery w:val="Page Numbers (Top of Page)"/>
            <w:docPartUnique/>
          </w:docPartObj>
        </w:sdtPr>
        <w:sdtEndPr/>
        <w:sdtContent>
          <w:p w:rsidR="00081A0F" w:rsidRDefault="00081A0F" w:rsidP="009A2C9A">
            <w:pPr>
              <w:pStyle w:val="a9"/>
              <w:jc w:val="center"/>
            </w:pPr>
            <w:r>
              <w:rPr>
                <w:b/>
                <w:bCs/>
                <w:sz w:val="24"/>
                <w:szCs w:val="24"/>
              </w:rPr>
              <w:fldChar w:fldCharType="begin"/>
            </w:r>
            <w:r>
              <w:rPr>
                <w:b/>
                <w:bCs/>
              </w:rPr>
              <w:instrText>PAGE</w:instrText>
            </w:r>
            <w:r>
              <w:rPr>
                <w:b/>
                <w:bCs/>
                <w:sz w:val="24"/>
                <w:szCs w:val="24"/>
              </w:rPr>
              <w:fldChar w:fldCharType="separate"/>
            </w:r>
            <w:r>
              <w:rPr>
                <w:b/>
                <w:bCs/>
                <w:noProof/>
              </w:rPr>
              <w:t>366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468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01B" w:rsidRDefault="00A2701B" w:rsidP="00CC4A3A">
      <w:r>
        <w:separator/>
      </w:r>
    </w:p>
  </w:footnote>
  <w:footnote w:type="continuationSeparator" w:id="0">
    <w:p w:rsidR="00A2701B" w:rsidRDefault="00A2701B" w:rsidP="00CC4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392"/>
    <w:rsid w:val="000049B4"/>
    <w:rsid w:val="00010E16"/>
    <w:rsid w:val="00014629"/>
    <w:rsid w:val="00014DDE"/>
    <w:rsid w:val="0001625B"/>
    <w:rsid w:val="00020700"/>
    <w:rsid w:val="00022485"/>
    <w:rsid w:val="00023A87"/>
    <w:rsid w:val="00026201"/>
    <w:rsid w:val="000269D8"/>
    <w:rsid w:val="000275F7"/>
    <w:rsid w:val="00031E26"/>
    <w:rsid w:val="000375D2"/>
    <w:rsid w:val="000408B5"/>
    <w:rsid w:val="0004264D"/>
    <w:rsid w:val="00043ED8"/>
    <w:rsid w:val="00044423"/>
    <w:rsid w:val="000476D7"/>
    <w:rsid w:val="000500C8"/>
    <w:rsid w:val="00051AD9"/>
    <w:rsid w:val="00051CCB"/>
    <w:rsid w:val="000538E1"/>
    <w:rsid w:val="000561D9"/>
    <w:rsid w:val="00060368"/>
    <w:rsid w:val="0006292A"/>
    <w:rsid w:val="00064EF1"/>
    <w:rsid w:val="000679BC"/>
    <w:rsid w:val="00072CBF"/>
    <w:rsid w:val="00075C22"/>
    <w:rsid w:val="00075CA8"/>
    <w:rsid w:val="00081A0F"/>
    <w:rsid w:val="00083BFE"/>
    <w:rsid w:val="00084E7A"/>
    <w:rsid w:val="00085F4D"/>
    <w:rsid w:val="0009067A"/>
    <w:rsid w:val="00094F52"/>
    <w:rsid w:val="000A1F67"/>
    <w:rsid w:val="000A2206"/>
    <w:rsid w:val="000A3E0B"/>
    <w:rsid w:val="000A683C"/>
    <w:rsid w:val="000B0741"/>
    <w:rsid w:val="000B1AC8"/>
    <w:rsid w:val="000B395F"/>
    <w:rsid w:val="000B397F"/>
    <w:rsid w:val="000B581D"/>
    <w:rsid w:val="000B6411"/>
    <w:rsid w:val="000C08A2"/>
    <w:rsid w:val="000C0C43"/>
    <w:rsid w:val="000C1828"/>
    <w:rsid w:val="000C4653"/>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97D7B"/>
    <w:rsid w:val="001A0681"/>
    <w:rsid w:val="001A46FF"/>
    <w:rsid w:val="001B09F6"/>
    <w:rsid w:val="001B1BA4"/>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691"/>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35F3"/>
    <w:rsid w:val="002237D1"/>
    <w:rsid w:val="00223843"/>
    <w:rsid w:val="00226543"/>
    <w:rsid w:val="00230751"/>
    <w:rsid w:val="002308A3"/>
    <w:rsid w:val="002332CF"/>
    <w:rsid w:val="00233B1B"/>
    <w:rsid w:val="0023427E"/>
    <w:rsid w:val="00235088"/>
    <w:rsid w:val="00240178"/>
    <w:rsid w:val="002421BE"/>
    <w:rsid w:val="0024412C"/>
    <w:rsid w:val="00247CBB"/>
    <w:rsid w:val="0025029B"/>
    <w:rsid w:val="00250393"/>
    <w:rsid w:val="002524AB"/>
    <w:rsid w:val="00255F05"/>
    <w:rsid w:val="0025718D"/>
    <w:rsid w:val="00262E98"/>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6183"/>
    <w:rsid w:val="00296ADC"/>
    <w:rsid w:val="00297754"/>
    <w:rsid w:val="002A100A"/>
    <w:rsid w:val="002A13AA"/>
    <w:rsid w:val="002A1E3C"/>
    <w:rsid w:val="002A2462"/>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6877"/>
    <w:rsid w:val="003270A4"/>
    <w:rsid w:val="00330E47"/>
    <w:rsid w:val="00332013"/>
    <w:rsid w:val="003324A1"/>
    <w:rsid w:val="00332B6A"/>
    <w:rsid w:val="00333068"/>
    <w:rsid w:val="00333233"/>
    <w:rsid w:val="0033364C"/>
    <w:rsid w:val="00334ADC"/>
    <w:rsid w:val="00334C18"/>
    <w:rsid w:val="00334E12"/>
    <w:rsid w:val="00336160"/>
    <w:rsid w:val="00340282"/>
    <w:rsid w:val="003444B4"/>
    <w:rsid w:val="00344B9E"/>
    <w:rsid w:val="00344CD8"/>
    <w:rsid w:val="00346A20"/>
    <w:rsid w:val="00347A9E"/>
    <w:rsid w:val="003539CB"/>
    <w:rsid w:val="00354EE6"/>
    <w:rsid w:val="00361DC9"/>
    <w:rsid w:val="00370B21"/>
    <w:rsid w:val="00372341"/>
    <w:rsid w:val="00372E2F"/>
    <w:rsid w:val="00375B56"/>
    <w:rsid w:val="00380782"/>
    <w:rsid w:val="00382C88"/>
    <w:rsid w:val="00385104"/>
    <w:rsid w:val="00385A1B"/>
    <w:rsid w:val="00385F76"/>
    <w:rsid w:val="00386D6B"/>
    <w:rsid w:val="003906FD"/>
    <w:rsid w:val="00390BE8"/>
    <w:rsid w:val="00393775"/>
    <w:rsid w:val="00393C79"/>
    <w:rsid w:val="003964A0"/>
    <w:rsid w:val="003A3AB4"/>
    <w:rsid w:val="003A6751"/>
    <w:rsid w:val="003A7178"/>
    <w:rsid w:val="003B069B"/>
    <w:rsid w:val="003B209D"/>
    <w:rsid w:val="003B21E7"/>
    <w:rsid w:val="003B4F88"/>
    <w:rsid w:val="003C04F9"/>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1E00"/>
    <w:rsid w:val="004532A3"/>
    <w:rsid w:val="00457771"/>
    <w:rsid w:val="00460414"/>
    <w:rsid w:val="00463EAB"/>
    <w:rsid w:val="0046524B"/>
    <w:rsid w:val="00473A46"/>
    <w:rsid w:val="004740C3"/>
    <w:rsid w:val="004752BD"/>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503D"/>
    <w:rsid w:val="004C69C6"/>
    <w:rsid w:val="004D012E"/>
    <w:rsid w:val="004D376B"/>
    <w:rsid w:val="004D731C"/>
    <w:rsid w:val="004E044A"/>
    <w:rsid w:val="004E2A33"/>
    <w:rsid w:val="004E3B69"/>
    <w:rsid w:val="004E5D06"/>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2339"/>
    <w:rsid w:val="00543039"/>
    <w:rsid w:val="00543AF1"/>
    <w:rsid w:val="00543FC8"/>
    <w:rsid w:val="005461CC"/>
    <w:rsid w:val="005521BD"/>
    <w:rsid w:val="00552AF1"/>
    <w:rsid w:val="00557454"/>
    <w:rsid w:val="005605F4"/>
    <w:rsid w:val="005614B4"/>
    <w:rsid w:val="005623FC"/>
    <w:rsid w:val="00562B0A"/>
    <w:rsid w:val="0056361C"/>
    <w:rsid w:val="00564C3F"/>
    <w:rsid w:val="00564D82"/>
    <w:rsid w:val="00570D45"/>
    <w:rsid w:val="00573372"/>
    <w:rsid w:val="005777CE"/>
    <w:rsid w:val="0058107E"/>
    <w:rsid w:val="005842E6"/>
    <w:rsid w:val="005843FC"/>
    <w:rsid w:val="00587EE0"/>
    <w:rsid w:val="005911E9"/>
    <w:rsid w:val="00593CB5"/>
    <w:rsid w:val="00596311"/>
    <w:rsid w:val="00597B22"/>
    <w:rsid w:val="005A000C"/>
    <w:rsid w:val="005A12ED"/>
    <w:rsid w:val="005A22E8"/>
    <w:rsid w:val="005A54C9"/>
    <w:rsid w:val="005B0E3A"/>
    <w:rsid w:val="005B220E"/>
    <w:rsid w:val="005B436C"/>
    <w:rsid w:val="005B5230"/>
    <w:rsid w:val="005B5F35"/>
    <w:rsid w:val="005C0C62"/>
    <w:rsid w:val="005C0D8B"/>
    <w:rsid w:val="005C7CBB"/>
    <w:rsid w:val="005D04C1"/>
    <w:rsid w:val="005E0200"/>
    <w:rsid w:val="005E4B5F"/>
    <w:rsid w:val="005E5412"/>
    <w:rsid w:val="005F0799"/>
    <w:rsid w:val="005F15E6"/>
    <w:rsid w:val="005F1905"/>
    <w:rsid w:val="005F34AF"/>
    <w:rsid w:val="005F4DA8"/>
    <w:rsid w:val="00600A5D"/>
    <w:rsid w:val="00600B1B"/>
    <w:rsid w:val="00602D22"/>
    <w:rsid w:val="00603035"/>
    <w:rsid w:val="00604921"/>
    <w:rsid w:val="00606426"/>
    <w:rsid w:val="00606570"/>
    <w:rsid w:val="00607CDC"/>
    <w:rsid w:val="0061127A"/>
    <w:rsid w:val="006127CB"/>
    <w:rsid w:val="00615146"/>
    <w:rsid w:val="006174C3"/>
    <w:rsid w:val="0062403B"/>
    <w:rsid w:val="00626FEF"/>
    <w:rsid w:val="006306AB"/>
    <w:rsid w:val="006330FA"/>
    <w:rsid w:val="006366DE"/>
    <w:rsid w:val="00636B04"/>
    <w:rsid w:val="00641E3B"/>
    <w:rsid w:val="006431CA"/>
    <w:rsid w:val="006444D6"/>
    <w:rsid w:val="00646EDC"/>
    <w:rsid w:val="00651519"/>
    <w:rsid w:val="00651591"/>
    <w:rsid w:val="006533FB"/>
    <w:rsid w:val="006540FD"/>
    <w:rsid w:val="00654A55"/>
    <w:rsid w:val="00657E98"/>
    <w:rsid w:val="006605F5"/>
    <w:rsid w:val="006610F3"/>
    <w:rsid w:val="00662573"/>
    <w:rsid w:val="006650D2"/>
    <w:rsid w:val="00665834"/>
    <w:rsid w:val="00665835"/>
    <w:rsid w:val="00666F2B"/>
    <w:rsid w:val="006706B3"/>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76EF"/>
    <w:rsid w:val="006F42FD"/>
    <w:rsid w:val="006F4E80"/>
    <w:rsid w:val="006F6015"/>
    <w:rsid w:val="006F60B0"/>
    <w:rsid w:val="006F6858"/>
    <w:rsid w:val="00700143"/>
    <w:rsid w:val="007021CB"/>
    <w:rsid w:val="007039F1"/>
    <w:rsid w:val="00703C22"/>
    <w:rsid w:val="007040C3"/>
    <w:rsid w:val="00706073"/>
    <w:rsid w:val="007060F8"/>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C7C"/>
    <w:rsid w:val="00773C20"/>
    <w:rsid w:val="00781452"/>
    <w:rsid w:val="00781C32"/>
    <w:rsid w:val="0078359F"/>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9C8"/>
    <w:rsid w:val="00854ADA"/>
    <w:rsid w:val="00854D1E"/>
    <w:rsid w:val="0085698D"/>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3BBB"/>
    <w:rsid w:val="00885599"/>
    <w:rsid w:val="00886956"/>
    <w:rsid w:val="00886EC1"/>
    <w:rsid w:val="008875B7"/>
    <w:rsid w:val="008932CB"/>
    <w:rsid w:val="00894D65"/>
    <w:rsid w:val="008959DB"/>
    <w:rsid w:val="008A01E2"/>
    <w:rsid w:val="008A0598"/>
    <w:rsid w:val="008A48B7"/>
    <w:rsid w:val="008A64D1"/>
    <w:rsid w:val="008A7218"/>
    <w:rsid w:val="008A7DD3"/>
    <w:rsid w:val="008B0CD7"/>
    <w:rsid w:val="008B4D3B"/>
    <w:rsid w:val="008B754C"/>
    <w:rsid w:val="008C160F"/>
    <w:rsid w:val="008C4344"/>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240F0"/>
    <w:rsid w:val="00924B28"/>
    <w:rsid w:val="00925D9D"/>
    <w:rsid w:val="00927361"/>
    <w:rsid w:val="009274DA"/>
    <w:rsid w:val="00931D5E"/>
    <w:rsid w:val="00937191"/>
    <w:rsid w:val="00943D62"/>
    <w:rsid w:val="009449F3"/>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37FE"/>
    <w:rsid w:val="009D4D36"/>
    <w:rsid w:val="009D75D0"/>
    <w:rsid w:val="009E2DFE"/>
    <w:rsid w:val="009E3BA4"/>
    <w:rsid w:val="009E3D51"/>
    <w:rsid w:val="009E6544"/>
    <w:rsid w:val="009F218F"/>
    <w:rsid w:val="009F2473"/>
    <w:rsid w:val="009F4132"/>
    <w:rsid w:val="009F6EC0"/>
    <w:rsid w:val="00A00A49"/>
    <w:rsid w:val="00A01793"/>
    <w:rsid w:val="00A0263C"/>
    <w:rsid w:val="00A0451D"/>
    <w:rsid w:val="00A06D29"/>
    <w:rsid w:val="00A06F22"/>
    <w:rsid w:val="00A13683"/>
    <w:rsid w:val="00A15097"/>
    <w:rsid w:val="00A17508"/>
    <w:rsid w:val="00A2034E"/>
    <w:rsid w:val="00A22BC4"/>
    <w:rsid w:val="00A2701B"/>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342C"/>
    <w:rsid w:val="00A63A69"/>
    <w:rsid w:val="00A671F4"/>
    <w:rsid w:val="00A70110"/>
    <w:rsid w:val="00A70A11"/>
    <w:rsid w:val="00A74880"/>
    <w:rsid w:val="00A76D72"/>
    <w:rsid w:val="00A77E33"/>
    <w:rsid w:val="00A91F25"/>
    <w:rsid w:val="00A94F9C"/>
    <w:rsid w:val="00A956D9"/>
    <w:rsid w:val="00A961CE"/>
    <w:rsid w:val="00AA1125"/>
    <w:rsid w:val="00AA3100"/>
    <w:rsid w:val="00AA529C"/>
    <w:rsid w:val="00AB0919"/>
    <w:rsid w:val="00AB1158"/>
    <w:rsid w:val="00AB6271"/>
    <w:rsid w:val="00AC0A5B"/>
    <w:rsid w:val="00AC109E"/>
    <w:rsid w:val="00AC3329"/>
    <w:rsid w:val="00AC3B29"/>
    <w:rsid w:val="00AC75A9"/>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7605"/>
    <w:rsid w:val="00BB007B"/>
    <w:rsid w:val="00BB06D7"/>
    <w:rsid w:val="00BB2037"/>
    <w:rsid w:val="00BB39F8"/>
    <w:rsid w:val="00BB4C46"/>
    <w:rsid w:val="00BB7221"/>
    <w:rsid w:val="00BC355A"/>
    <w:rsid w:val="00BC4E5F"/>
    <w:rsid w:val="00BC6092"/>
    <w:rsid w:val="00BC6358"/>
    <w:rsid w:val="00BC7D90"/>
    <w:rsid w:val="00BD4BE1"/>
    <w:rsid w:val="00BE03F3"/>
    <w:rsid w:val="00BE094B"/>
    <w:rsid w:val="00BE0981"/>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0FC5"/>
    <w:rsid w:val="00C21A07"/>
    <w:rsid w:val="00C220B2"/>
    <w:rsid w:val="00C22B21"/>
    <w:rsid w:val="00C23BCA"/>
    <w:rsid w:val="00C251C3"/>
    <w:rsid w:val="00C25E91"/>
    <w:rsid w:val="00C2668C"/>
    <w:rsid w:val="00C26BEA"/>
    <w:rsid w:val="00C26FF1"/>
    <w:rsid w:val="00C27DED"/>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288"/>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9185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C8"/>
    <w:rsid w:val="00CC681F"/>
    <w:rsid w:val="00CD0B1D"/>
    <w:rsid w:val="00CD44E3"/>
    <w:rsid w:val="00CD47C7"/>
    <w:rsid w:val="00CE1A14"/>
    <w:rsid w:val="00CE2B0B"/>
    <w:rsid w:val="00CE3653"/>
    <w:rsid w:val="00CE4047"/>
    <w:rsid w:val="00CE49C2"/>
    <w:rsid w:val="00CE4C7A"/>
    <w:rsid w:val="00CE78A9"/>
    <w:rsid w:val="00CF1021"/>
    <w:rsid w:val="00CF3C5A"/>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353D"/>
    <w:rsid w:val="00D536D5"/>
    <w:rsid w:val="00D5524A"/>
    <w:rsid w:val="00D578D7"/>
    <w:rsid w:val="00D65794"/>
    <w:rsid w:val="00D67AB6"/>
    <w:rsid w:val="00D7522F"/>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F59"/>
    <w:rsid w:val="00E44645"/>
    <w:rsid w:val="00E46C54"/>
    <w:rsid w:val="00E47491"/>
    <w:rsid w:val="00E51B09"/>
    <w:rsid w:val="00E52917"/>
    <w:rsid w:val="00E558EA"/>
    <w:rsid w:val="00E56249"/>
    <w:rsid w:val="00E56464"/>
    <w:rsid w:val="00E60899"/>
    <w:rsid w:val="00E64966"/>
    <w:rsid w:val="00E64BF2"/>
    <w:rsid w:val="00E66A01"/>
    <w:rsid w:val="00E70702"/>
    <w:rsid w:val="00E71521"/>
    <w:rsid w:val="00E7362A"/>
    <w:rsid w:val="00E75196"/>
    <w:rsid w:val="00E757D4"/>
    <w:rsid w:val="00E7604A"/>
    <w:rsid w:val="00E829FD"/>
    <w:rsid w:val="00E86637"/>
    <w:rsid w:val="00E91463"/>
    <w:rsid w:val="00E91CAE"/>
    <w:rsid w:val="00E94D0B"/>
    <w:rsid w:val="00E971B8"/>
    <w:rsid w:val="00EA6A1E"/>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6F6"/>
    <w:rsid w:val="00EF7514"/>
    <w:rsid w:val="00F003A1"/>
    <w:rsid w:val="00F029A9"/>
    <w:rsid w:val="00F030DA"/>
    <w:rsid w:val="00F03EDC"/>
    <w:rsid w:val="00F04D95"/>
    <w:rsid w:val="00F052CE"/>
    <w:rsid w:val="00F066E3"/>
    <w:rsid w:val="00F0690C"/>
    <w:rsid w:val="00F06C00"/>
    <w:rsid w:val="00F07902"/>
    <w:rsid w:val="00F10283"/>
    <w:rsid w:val="00F10737"/>
    <w:rsid w:val="00F107C8"/>
    <w:rsid w:val="00F12A4A"/>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3F53"/>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24FF"/>
    <w:rsid w:val="00FC310A"/>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03A8F"/>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
    <w:name w:val="4级标题 Char"/>
    <w:basedOn w:val="a3"/>
    <w:link w:val="4"/>
    <w:rsid w:val="00D9244A"/>
    <w:rPr>
      <w:rFonts w:ascii="幼圆" w:eastAsia="幼圆" w:hAnsiTheme="minorEastAsia" w:cs="宋体"/>
      <w:b/>
      <w:kern w:val="0"/>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
    <w:name w:val="6级标题 Char"/>
    <w:basedOn w:val="a3"/>
    <w:link w:val="6"/>
    <w:rsid w:val="00C41326"/>
    <w:rPr>
      <w:rFonts w:hAnsiTheme="minorEastAsia" w:cs="宋体"/>
      <w:kern w:val="0"/>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0"/>
    <w:rsid w:val="00820A5F"/>
    <w:rPr>
      <w:rFonts w:ascii="幼圆" w:eastAsia="幼圆"/>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63BBA-F866-40DD-AFB1-ED6118CA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4297</TotalTime>
  <Pages>4</Pages>
  <Words>352</Words>
  <Characters>2012</Characters>
  <Application>Microsoft Office Word</Application>
  <DocSecurity>0</DocSecurity>
  <Lines>16</Lines>
  <Paragraphs>4</Paragraphs>
  <ScaleCrop>false</ScaleCrop>
  <Company>微软中国</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1001</cp:revision>
  <dcterms:created xsi:type="dcterms:W3CDTF">2017-06-24T03:03:00Z</dcterms:created>
  <dcterms:modified xsi:type="dcterms:W3CDTF">2019-01-11T05:23:00Z</dcterms:modified>
</cp:coreProperties>
</file>