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2021681</wp:posOffset>
            </wp:positionH>
            <wp:positionV relativeFrom="paragraph">
              <wp:posOffset>21590</wp:posOffset>
            </wp:positionV>
            <wp:extent cx="1900238" cy="12668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0238" cy="1266825"/>
                    </a:xfrm>
                    <a:prstGeom prst="rect"/>
                    <a:ln/>
                  </pic:spPr>
                </pic:pic>
              </a:graphicData>
            </a:graphic>
          </wp:anchor>
        </w:drawing>
      </w:r>
    </w:p>
    <w:p w:rsidR="00000000" w:rsidDel="00000000" w:rsidP="00000000" w:rsidRDefault="00000000" w:rsidRPr="00000000" w14:paraId="00000003">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Entre fronteras y oportunidades: una mirada profunda a las migraciones en el mundo contemporáneo</w:t>
      </w:r>
    </w:p>
    <w:p w:rsidR="00000000" w:rsidDel="00000000" w:rsidP="00000000" w:rsidRDefault="00000000" w:rsidRPr="00000000" w14:paraId="00000009">
      <w:pPr>
        <w:spacing w:line="48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Contexto: Sujeto y Sociedad </w:t>
      </w:r>
    </w:p>
    <w:p w:rsidR="00000000" w:rsidDel="00000000" w:rsidP="00000000" w:rsidRDefault="00000000" w:rsidRPr="00000000" w14:paraId="0000000C">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Integrantes:</w:t>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Nicolas Alfonso Bustos Urueña</w:t>
      </w:r>
    </w:p>
    <w:p w:rsidR="00000000" w:rsidDel="00000000" w:rsidP="00000000" w:rsidRDefault="00000000" w:rsidRPr="00000000" w14:paraId="00000010">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Linda Esther España Jaraba</w:t>
      </w:r>
    </w:p>
    <w:p w:rsidR="00000000" w:rsidDel="00000000" w:rsidP="00000000" w:rsidRDefault="00000000" w:rsidRPr="00000000" w14:paraId="00000011">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Ana María Lozano Hernandez</w:t>
      </w:r>
    </w:p>
    <w:p w:rsidR="00000000" w:rsidDel="00000000" w:rsidP="00000000" w:rsidRDefault="00000000" w:rsidRPr="00000000" w14:paraId="00000012">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Julián Camilo Mancipe Triviño</w:t>
      </w:r>
    </w:p>
    <w:p w:rsidR="00000000" w:rsidDel="00000000" w:rsidP="00000000" w:rsidRDefault="00000000" w:rsidRPr="00000000" w14:paraId="00000013">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Jorge Nicolas Medina Torres</w:t>
      </w:r>
    </w:p>
    <w:p w:rsidR="00000000" w:rsidDel="00000000" w:rsidP="00000000" w:rsidRDefault="00000000" w:rsidRPr="00000000" w14:paraId="00000014">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Bogotá D.C.</w:t>
      </w:r>
    </w:p>
    <w:p w:rsidR="00000000" w:rsidDel="00000000" w:rsidP="00000000" w:rsidRDefault="00000000" w:rsidRPr="00000000" w14:paraId="00000018">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2025</w:t>
      </w:r>
    </w:p>
    <w:p w:rsidR="00000000" w:rsidDel="00000000" w:rsidP="00000000" w:rsidRDefault="00000000" w:rsidRPr="00000000" w14:paraId="00000019">
      <w:pPr>
        <w:spacing w:line="48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Introducción </w:t>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migraciones  son un tema que genera controversia hoy en día más que todo en el aspecto  social que ha influido en culturas, economías y  políticas a nivel global. Según el World Migration Report 2022 de la Organización Internacional para las Migraciones (OIM), más de 281 millones de personas viven fuera de su país de origen. Estos datos  no solo muestran   las iniciativas  individuales, sino también las desigualdades sociales  que impulsan estos movimientos. Las historias de quienes migran son importantes  para poder  entender las razones para tomar estas decisiones , ya sea la búsqueda de mejores oportunidades laborales,el volver a reunirse con  familiares lejanos  o el irse por las  crisis sociopolíticas. Un ejemplo de lo anterior mencionado  es la experiencia de Diego Castellanos, un ingeniero colombiano que emigró a España en 2017, el cual tiene una historia que  permite analizar estas dimensiones desde una perspectiva personal y profesional.</w:t>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historia de Diego con la migración , es un hecho importante dentro de cómo se manejan  los sistemas migratorios globales. De acuerdo con la Organización para la Cooperación y el Desarrollo Económicos (OCDE), la movilidad de la migración  suele estar ligada  con políticas de reclutamiento internacional que intentan  cubrir vacíos en sectores importantes , como la tecnología o la salud. Para  Diego, el  conseguir experiencia como desarrollador de software en importantes proyectos a nivel internacional  se ve  cómo las habilidades profesionales de la persona pueden abrir demasiadas  puertas a oportunidades en países con economías más potentes y sobre todo países que cuentan con un buen sustento económico . Pese a esto , el camino  es muy complejo , como la adaptación cultural y los temas legales , temas que Diego toca en su entrevista.</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el enredado mundo de las migraciones, se teje una red de tensiones y visiones divergentes. Según el Pew Research Center, hay naciones que ven con buenos ojos la contribución económica de los migrantes calificados, mientras que hay sectores que sienten que la migración ejerce presión en el ámbito laboral o desencadenar transformaciones culturales no deseadas.Las comunidades locales, antaño inquietas por la presencia de migrantes, siguen en su extraña danza de desconfianza y resistencia. Tales sentimientos adversos desencadenan xenofobia y reglas migratorias severas, alimentando así un caldo de tensiones que atraviesan fronteras y dejan perplejos a quienes observan el drama humano en acción.La neblina de datos imprecisos sobre los aportes económicos y culturales de los migrantes agita percepciones distorsionadas, obstruyendo la integración eficiente en las sociedades anfitrionas.</w:t>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Diego también dice  que, en su situación, el pasar tanto tiempo en España resultó favorable debido a su condición legal y su incorporación a un entorno  de trabajo muy diverso . Aunque , el también reconoce  que la migración irregular ha provocado un huella  hacia determinados grupos. Esta repetición  muestra  la relevancia de tener en cuenta las distintas maneras de ver el tema de las migraciones : las voces de migrantes legales, como Diego, se distinguen  de las de aquellos que se encuentran en rechazo  o situaciones de limitaciones , lo que promueve un estudio más específico  y crítico del fenómeno migratorio.</w:t>
      </w:r>
    </w:p>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entrevista también nos da un abrebocas  sobre el gran movimiento de las políticas migratorias en las trayectorias individuales. Según el Banco Mundial, los procesos de patrocinio laboral, como el que vivió Diego, mejoran y son más simples en cuanto a la movilidad legal, sin embargo,  suelen tener restricciones en cuanto  a los  contratos temporales y requerimientos  burocráticos que piden. El  relato de Diego  sobre los seis meses de trámites y el vivir inicialmente  en España indica  cómo las organizaciones  institucionales forman  las oportunidades y limitaciones de los migrantes. Además, su mención al “agradecimiento” hacia la empresa que lo patrocinó  lo que demuestra  una dimensión emocional vinculada a la migración, aspecto poco explorado en los análisis cuantitativos.</w:t>
      </w:r>
    </w:p>
    <w:p w:rsidR="00000000" w:rsidDel="00000000" w:rsidP="00000000" w:rsidRDefault="00000000" w:rsidRPr="00000000" w14:paraId="0000002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Colombia se ha caracterizado por una gran movilidad en su población en distintas épocas siendo frecuentes destinos como Estados Unidos y Europa principalmente a España por la facilidad idiomática que presenta para los colombianos, la migración en Colombia ha sido una causa creciente cuyas razones van ligadas directamente con la situación local y global, los colombianos que emigran lo hacen en busca de una mejor retribución de la que se puede tener en un país subdesarrollado principalmente por los cambios en la demanda de la fuerza de trabajo, a pesar de esto la migración representa desafíos tanto como para el migrante como para las comunidades de origen y destino.</w:t>
      </w:r>
    </w:p>
    <w:p w:rsidR="00000000" w:rsidDel="00000000" w:rsidP="00000000" w:rsidRDefault="00000000" w:rsidRPr="00000000" w14:paraId="0000002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búsqueda de una mejor situación es lo que impulsa a muchas personas a establecerse en países más desarrollados para poder contrarrestar la falta de empleo, pobreza y desigualdad económica que constantemente se vive principalmente en latinoamérica.</w:t>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Los migrantes enfrentan una serie de desafíos emocionales principalmente por la discriminación lo que representa un gran reto en cuanto a la integración y adaptación a una nueva comunidad debido a que muchas veces en estos paises de primer mundo se tiene una percepción negativa de los migrantes que apesar de representar una contribución positiva para la economía del país en el que se establecen, se estan exponiendo constantemente a tensiones sociales y culturales, este sector que identifica a los migrantes como una amenaza a su estabilidad y asumen que estas personas son indeseadas y las perciben como una competencia en su mercado laboral.</w:t>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Personas como Diego han pasado experiencias semejantes en casos de migración, yendo en busca de oportunidades laborales en el extranjero para lograr salir adelante y tener una mejor vida, saliendo de la cotidianidad para experimentar nuevas situaciones en otro país que nunca han podido experimentar anteriormente por distintos factores, los cuales pueden estar ligados hacia asuntos políticos, económicos y sociales, los cuales colocan brechas hacia estas personas migrantes para realizar adecuadamente su establecimiento en el nuevo país.</w:t>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Estas limitantes dadas por la desconfianza de tanto personas nativas del país a migrar como de los políticos imponen condiciones no muy favorables especialmente en el aspecto económico, del cual dependen bastante los migrantes para su estancia en el país, por lo que los campos laborales van de las condiciones impuestas por departamentos nacionales de forma que los empleos fijos anuales sean mejores económicamente que los temporales en especial hacia personas con baja experiencia o con registro legal limitado.</w:t>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 cualquier modo, los migrantes pueden lograr sus objetivos de estabilidad</w:t>
      </w:r>
    </w:p>
    <w:p w:rsidR="00000000" w:rsidDel="00000000" w:rsidP="00000000" w:rsidRDefault="00000000" w:rsidRPr="00000000" w14:paraId="00000030">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Referencias </w:t>
      </w:r>
    </w:p>
    <w:p w:rsidR="00000000" w:rsidDel="00000000" w:rsidP="00000000" w:rsidRDefault="00000000" w:rsidRPr="00000000" w14:paraId="0000004F">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Organización Internacional para las Migraciones (OIM). (2022). World Migration Report 2022. </w:t>
      </w:r>
      <w:hyperlink r:id="rId7">
        <w:r w:rsidDel="00000000" w:rsidR="00000000" w:rsidRPr="00000000">
          <w:rPr>
            <w:rFonts w:ascii="Calibri" w:cs="Calibri" w:eastAsia="Calibri" w:hAnsi="Calibri"/>
            <w:color w:val="1155cc"/>
            <w:u w:val="single"/>
            <w:rtl w:val="0"/>
          </w:rPr>
          <w:t xml:space="preserve">https://publications.iom.int/books/world-migration-report-2022</w:t>
        </w:r>
      </w:hyperlink>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Organización para la Cooperación y el Desarrollo Económicos (OCDE). (2021). International Migration Outlook 2021. OECD Publishing. </w:t>
      </w:r>
      <w:hyperlink r:id="rId8">
        <w:r w:rsidDel="00000000" w:rsidR="00000000" w:rsidRPr="00000000">
          <w:rPr>
            <w:rFonts w:ascii="Calibri" w:cs="Calibri" w:eastAsia="Calibri" w:hAnsi="Calibri"/>
            <w:color w:val="1155cc"/>
            <w:u w:val="single"/>
            <w:rtl w:val="0"/>
          </w:rPr>
          <w:t xml:space="preserve">https://doi.org/10.1787/29f23e9d-en</w:t>
        </w:r>
      </w:hyperlink>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Pew Research Center. (2020). Attitudes toward Immigration in Advanced Economies. </w:t>
      </w:r>
    </w:p>
    <w:p w:rsidR="00000000" w:rsidDel="00000000" w:rsidP="00000000" w:rsidRDefault="00000000" w:rsidRPr="00000000" w14:paraId="00000057">
      <w:pPr>
        <w:spacing w:line="240" w:lineRule="auto"/>
        <w:ind w:left="720" w:firstLine="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https://www.pewresearch.org/global/2020/09/23/attitudes-toward-immigration-in-advanced-economies/</w:t>
        </w:r>
      </w:hyperlink>
      <w:r w:rsidDel="00000000" w:rsidR="00000000" w:rsidRPr="00000000">
        <w:rPr>
          <w:rtl w:val="0"/>
        </w:rPr>
      </w:r>
    </w:p>
    <w:p w:rsidR="00000000" w:rsidDel="00000000" w:rsidP="00000000" w:rsidRDefault="00000000" w:rsidRPr="00000000" w14:paraId="00000058">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Banco Mundial. (2023). Informe sobre migración y desarrollo 2023. </w:t>
      </w:r>
      <w:hyperlink r:id="rId10">
        <w:r w:rsidDel="00000000" w:rsidR="00000000" w:rsidRPr="00000000">
          <w:rPr>
            <w:rFonts w:ascii="Calibri" w:cs="Calibri" w:eastAsia="Calibri" w:hAnsi="Calibri"/>
            <w:color w:val="1155cc"/>
            <w:u w:val="single"/>
            <w:rtl w:val="0"/>
          </w:rPr>
          <w:t xml:space="preserve">https://www.bancomundial.org/es/topic/migrationremittancesdiasporaissues/brief/migration-and-development-brief</w:t>
        </w:r>
      </w:hyperlink>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Cancillería de Colombia. (s.f.). </w:t>
      </w:r>
      <w:r w:rsidDel="00000000" w:rsidR="00000000" w:rsidRPr="00000000">
        <w:rPr>
          <w:rFonts w:ascii="Calibri" w:cs="Calibri" w:eastAsia="Calibri" w:hAnsi="Calibri"/>
          <w:i w:val="1"/>
          <w:rtl w:val="0"/>
        </w:rPr>
        <w:t xml:space="preserve">Antecedentes históricos y causas de la migración</w:t>
      </w:r>
      <w:r w:rsidDel="00000000" w:rsidR="00000000" w:rsidRPr="00000000">
        <w:rPr>
          <w:rFonts w:ascii="Calibri" w:cs="Calibri" w:eastAsia="Calibri" w:hAnsi="Calibri"/>
          <w:rtl w:val="0"/>
        </w:rPr>
        <w:t xml:space="preserve">. Recuperado de </w:t>
      </w:r>
      <w:hyperlink r:id="rId11">
        <w:r w:rsidDel="00000000" w:rsidR="00000000" w:rsidRPr="00000000">
          <w:rPr>
            <w:rFonts w:ascii="Calibri" w:cs="Calibri" w:eastAsia="Calibri" w:hAnsi="Calibri"/>
            <w:color w:val="1155cc"/>
            <w:u w:val="single"/>
            <w:rtl w:val="0"/>
          </w:rPr>
          <w:t xml:space="preserve">https://www.cancilleria.gov.co/colombia/migracion/historia</w:t>
        </w:r>
      </w:hyperlink>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Bethany Christian Services. (s.f.). Migración: causas y consecuencias de un fenómeno global que no se detiene. Recuperado d </w:t>
      </w:r>
    </w:p>
    <w:p w:rsidR="00000000" w:rsidDel="00000000" w:rsidP="00000000" w:rsidRDefault="00000000" w:rsidRPr="00000000" w14:paraId="00000060">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ind w:left="720" w:firstLine="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https://colombia.bethany.org/es/recursos/migracion-causas-y-consecuencias-de-un-fenomeno-global-que-no-se-detiene-</w:t>
        </w:r>
      </w:hyperlink>
      <w:r w:rsidDel="00000000" w:rsidR="00000000" w:rsidRPr="00000000">
        <w:rPr>
          <w:rtl w:val="0"/>
        </w:rPr>
      </w:r>
    </w:p>
    <w:p w:rsidR="00000000" w:rsidDel="00000000" w:rsidP="00000000" w:rsidRDefault="00000000" w:rsidRPr="00000000" w14:paraId="00000062">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ncilleria.gov.co/colombia/migracion/historia" TargetMode="External"/><Relationship Id="rId10" Type="http://schemas.openxmlformats.org/officeDocument/2006/relationships/hyperlink" Target="https://www.bancomundial.org/es/topic/migrationremittancesdiasporaissues/brief/migration-and-development-brief" TargetMode="External"/><Relationship Id="rId12" Type="http://schemas.openxmlformats.org/officeDocument/2006/relationships/hyperlink" Target="https://colombia.bethany.org/es/recursos/migracion-causas-y-consecuencias-de-un-fenomeno-global-que-no-se-detiene-" TargetMode="External"/><Relationship Id="rId9" Type="http://schemas.openxmlformats.org/officeDocument/2006/relationships/hyperlink" Target="https://www.pewresearch.org/global/2020/09/23/attitudes-toward-immigration-in-advanced-econom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ations.iom.int/books/world-migration-report-2022" TargetMode="External"/><Relationship Id="rId8" Type="http://schemas.openxmlformats.org/officeDocument/2006/relationships/hyperlink" Target="https://doi.org/10.1787/29f23e9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