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 #3 - Math 290.2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Group Members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James Mancuso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Christian 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Michael Velez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write-ups uploaded to google sheets.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create table qcmath290.public."2018_Yellow_Taxi_Trip_Data_gz"(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"vendorID" bigint,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"tpep_pickup_datetime" varchar,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"tpep_dropoff_datetime" varchar,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"passenger_count" bigint,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"trip_distance" float8,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"PULocationID" bigint,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"DOLocationID" bigint,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"ratecodeID" bigint,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"store_and_fwd_flag" varchar,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"payment_type" bigint,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"fare_amount" float8,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"extra" float8,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"mta_tax" float8,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"improvement_surcharge" float8,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"tip_amount" float8,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"tolls_amount" float8,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"total_amount" float8);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copy yellow_taxi_trip_data(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vendorid,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tpep_pickup_datetime,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tpep_dropoff_datetime,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passenger_count,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trip_distance,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ratecodeid,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store_and_fwd_flag,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pulocationid,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dolocationid,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payment_type,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fare_amount,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extra,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mta_tax,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tip_amount,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tolls_amount,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improvement_surcharge,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total_amount)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from program 'cmd /c "type D:\Downloads\2018_Yellow_Taxi_Trip_Data.csv"' delimiter ',' csv header;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7004634" cy="2233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4634" cy="22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select count(*) as observation_count from yellow_taxi_trip_data yttd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05450" cy="21812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select count(distinct "vendorid") from yellow_taxi_trip_data yttd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29250" cy="2457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would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a good candidate for a primary key because there are 3 unique values within the attribute of a dataset that contains over 112 million tuples.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