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olor w:val="003087"/>
          <w:sz w:val="52"/>
        </w:rPr>
        <w:t>BUILDING AI-POWERED PLAYABLE GAMING ADS</w:t>
      </w:r>
    </w:p>
    <w:p>
      <w:pPr>
        <w:spacing w:after="320"/>
      </w:pPr>
      <w:r>
        <w:rPr>
          <w:b/>
          <w:color w:val="E50914"/>
          <w:sz w:val="28"/>
        </w:rPr>
        <w:t>Industry Effectiveness Research, Rapid AI Creation Workflow &amp; Google Playable Ads Deployment Guide</w:t>
      </w:r>
    </w:p>
    <w:p>
      <w:pPr>
        <w:spacing w:after="400"/>
      </w:pPr>
      <w:r>
        <w:rPr>
          <w:i/>
          <w:color w:val="646464"/>
          <w:sz w:val="19"/>
        </w:rPr>
        <w:t>AUTHOR: AI Creative &amp; Interactive Engineering Team   |   TARGET PLATFORM: Google Ads Network (HTML5 Playable Ads)   |   CASE STUDY: Cedar Point &amp; Six Flags Thrill Park Tycoon</w:t>
      </w:r>
    </w:p>
    <w:p>
      <w:pPr>
        <w:keepNext/>
        <w:spacing w:before="360" w:after="160"/>
        <w:pBdr>
          <w:bottom w:val="single" w:sz="12" w:space="4" w:color="003087"/>
        </w:pBdr>
      </w:pPr>
      <w:r>
        <w:rPr>
          <w:b/>
          <w:color w:val="003087"/>
          <w:sz w:val="40"/>
        </w:rPr>
        <w:t>Executive Summary</w:t>
      </w:r>
    </w:p>
    <w:p>
      <w:pPr>
        <w:spacing w:line="276" w:lineRule="auto" w:after="200"/>
      </w:pPr>
      <w:r>
        <w:rPr>
          <w:sz w:val="21"/>
        </w:rPr>
        <w:t>Interactive playable ads represent the highest-performing creative ad format in mobile marketing today. By replacing passive video watching with active 3D gameplay, brands achieve dramatic lifts in conversion rates (CVR), click-through rates (CTR), and 7-day retention. Historically, engineering a custom 3D playable ad required 4 to 6 weeks of developer effort, high production costs, and specialized WebGL asset pipelines. This document demonstrates how Generative AI transforms ad production—enabling the autonomous creation of a feature-complete, 3D low-poly Rollercoaster Tycoon ad experience (Cedar Point / Six Flags edition) in under an hour, while guaranteeing full compliance with Google Ads' strict single-file HTML5 playable ad specifications.</w:t>
      </w:r>
    </w:p>
    <w:tbl>
      <w:tblPr>
        <w:tblW w:type="auto" w:w="0"/>
        <w:jc w:val="center"/>
        <w:tblLook w:firstColumn="1" w:firstRow="1" w:lastColumn="0" w:lastRow="0" w:noHBand="0" w:noVBand="1" w:val="04A0"/>
      </w:tblPr>
      <w:tblGrid>
        <w:gridCol w:w="9360"/>
      </w:tblGrid>
      <w:tr>
        <w:tc>
          <w:tcPr>
            <w:tcW w:type="dxa" w:w="9360"/>
            <w:shd w:fill="F0F4F9"/>
            <w:tcMar>
              <w:top w:w="140" w:type="dxa"/>
              <w:bottom w:w="140" w:type="dxa"/>
              <w:left w:w="200" w:type="dxa"/>
              <w:right w:w="200" w:type="dxa"/>
            </w:tcMar>
            <w:tcBorders>
              <w:left w:val="single" w:sz="24" w:space="0" w:color="003087"/>
              <w:top w:val="none"/>
              <w:right w:val="none"/>
              <w:bottom w:val="none"/>
            </w:tcBorders>
          </w:tcPr>
          <w:p>
            <w:pPr>
              <w:spacing w:after="80"/>
            </w:pPr>
            <w:r>
              <w:rPr>
                <w:b/>
                <w:color w:val="003087"/>
                <w:sz w:val="22"/>
              </w:rPr>
              <w:t>📌 KEY TAKEAWAYS</w:t>
              <w:br/>
            </w:r>
          </w:p>
          <w:p>
            <w:pPr>
              <w:spacing w:after="60" w:line="276" w:lineRule="auto"/>
            </w:pPr>
            <w:r>
              <w:rPr>
                <w:color w:val="222222"/>
                <w:sz w:val="20"/>
              </w:rPr>
              <w:t>Playable ads yield 3x to 7x higher Conversion Rates (15–25% CVR) compared to static banners or video ads.</w:t>
            </w:r>
          </w:p>
          <w:p>
            <w:pPr>
              <w:spacing w:after="60" w:line="276" w:lineRule="auto"/>
            </w:pPr>
            <w:r>
              <w:rPr>
                <w:color w:val="222222"/>
                <w:sz w:val="20"/>
              </w:rPr>
              <w:t>Generative AI reduces interactive ad development time from 30 days to minutes via inline Web Audio, procedural SVGs, and modular Three.js scripts.</w:t>
            </w:r>
          </w:p>
          <w:p>
            <w:pPr>
              <w:spacing w:after="60" w:line="276" w:lineRule="auto"/>
            </w:pPr>
            <w:r>
              <w:rPr>
                <w:color w:val="222222"/>
                <w:sz w:val="20"/>
              </w:rPr>
              <w:t>Self-contained HTML5 packaging compresses complex 3D worlds into lightweight &lt;0.15 MB bundles, far under Google's 5 MB limit.</w:t>
            </w:r>
          </w:p>
        </w:tc>
      </w:tr>
    </w:tbl>
    <w:p>
      <w:pPr>
        <w:spacing w:after="120"/>
      </w:pPr>
    </w:p>
    <w:p>
      <w:pPr>
        <w:keepNext/>
        <w:spacing w:before="360" w:after="160"/>
        <w:pBdr>
          <w:bottom w:val="single" w:sz="12" w:space="4" w:color="003087"/>
        </w:pBdr>
      </w:pPr>
      <w:r>
        <w:rPr>
          <w:b/>
          <w:color w:val="003087"/>
          <w:sz w:val="40"/>
        </w:rPr>
        <w:t>1. Research on the Effectiveness of Playable Gaming Ads</w:t>
      </w:r>
    </w:p>
    <w:p>
      <w:pPr>
        <w:spacing w:line="276" w:lineRule="auto" w:after="160"/>
      </w:pPr>
      <w:r>
        <w:rPr>
          <w:sz w:val="21"/>
        </w:rPr>
        <w:t>Playable ads transform passive media consumption into interactive gamified experiences. Extensive industry benchmarking across mobile ad networks (Google App Campaigns, Unity Ads, AppLovin, and ironSource) highlights playable creative assets as the primary growth engine for user acquisition and brand engagement.</w:t>
      </w:r>
    </w:p>
    <w:p>
      <w:pPr>
        <w:keepNext/>
        <w:spacing w:before="280" w:after="120"/>
      </w:pPr>
      <w:r>
        <w:rPr>
          <w:b/>
          <w:color w:val="E50914"/>
          <w:sz w:val="28"/>
        </w:rPr>
        <w:t>Performance Metrics: Playables vs. Video &amp; Banner Ads</w:t>
      </w:r>
    </w:p>
    <w:tbl>
      <w:tblPr>
        <w:tblW w:type="auto" w:w="0"/>
        <w:jc w:val="center"/>
        <w:tblLook w:firstColumn="1" w:firstRow="1" w:lastColumn="0" w:lastRow="0" w:noHBand="0" w:noVBand="1" w:val="04A0"/>
      </w:tblPr>
      <w:tblGrid>
        <w:gridCol w:w="2340"/>
        <w:gridCol w:w="2340"/>
        <w:gridCol w:w="2340"/>
        <w:gridCol w:w="2340"/>
      </w:tblGrid>
      <w:tr>
        <w:tc>
          <w:tcPr>
            <w:tcW w:type="dxa" w:w="2340"/>
            <w:shd w:fill="003087"/>
            <w:tcMar>
              <w:top w:w="120" w:type="dxa"/>
              <w:bottom w:w="120" w:type="dxa"/>
              <w:left w:w="140" w:type="dxa"/>
              <w:right w:w="140" w:type="dxa"/>
            </w:tcMar>
          </w:tcPr>
          <w:p>
            <w:r>
              <w:rPr>
                <w:b/>
                <w:color w:val="FFFFFF"/>
                <w:sz w:val="20"/>
              </w:rPr>
              <w:t>Metric</w:t>
            </w:r>
          </w:p>
        </w:tc>
        <w:tc>
          <w:tcPr>
            <w:tcW w:type="dxa" w:w="2340"/>
            <w:shd w:fill="003087"/>
            <w:tcMar>
              <w:top w:w="120" w:type="dxa"/>
              <w:bottom w:w="120" w:type="dxa"/>
              <w:left w:w="140" w:type="dxa"/>
              <w:right w:w="140" w:type="dxa"/>
            </w:tcMar>
          </w:tcPr>
          <w:p>
            <w:r>
              <w:rPr>
                <w:b/>
                <w:color w:val="FFFFFF"/>
                <w:sz w:val="20"/>
              </w:rPr>
              <w:t>Static Banner Ads</w:t>
            </w:r>
          </w:p>
        </w:tc>
        <w:tc>
          <w:tcPr>
            <w:tcW w:type="dxa" w:w="2340"/>
            <w:shd w:fill="003087"/>
            <w:tcMar>
              <w:top w:w="120" w:type="dxa"/>
              <w:bottom w:w="120" w:type="dxa"/>
              <w:left w:w="140" w:type="dxa"/>
              <w:right w:w="140" w:type="dxa"/>
            </w:tcMar>
          </w:tcPr>
          <w:p>
            <w:r>
              <w:rPr>
                <w:b/>
                <w:color w:val="FFFFFF"/>
                <w:sz w:val="20"/>
              </w:rPr>
              <w:t>Video Interstitials</w:t>
            </w:r>
          </w:p>
        </w:tc>
        <w:tc>
          <w:tcPr>
            <w:tcW w:type="dxa" w:w="2340"/>
            <w:shd w:fill="003087"/>
            <w:tcMar>
              <w:top w:w="120" w:type="dxa"/>
              <w:bottom w:w="120" w:type="dxa"/>
              <w:left w:w="140" w:type="dxa"/>
              <w:right w:w="140" w:type="dxa"/>
            </w:tcMar>
          </w:tcPr>
          <w:p>
            <w:r>
              <w:rPr>
                <w:b/>
                <w:color w:val="FFFFFF"/>
                <w:sz w:val="20"/>
              </w:rPr>
              <w:t>Playable Gaming Ads</w:t>
            </w:r>
          </w:p>
        </w:tc>
      </w:tr>
      <w:tr>
        <w:tc>
          <w:tcPr>
            <w:tcW w:type="dxa" w:w="2340"/>
            <w:shd w:fill="FFFFFF"/>
            <w:tcMar>
              <w:top w:w="100" w:type="dxa"/>
              <w:bottom w:w="100" w:type="dxa"/>
              <w:left w:w="120" w:type="dxa"/>
              <w:right w:w="120" w:type="dxa"/>
            </w:tcMar>
          </w:tcPr>
          <w:p>
            <w:r>
              <w:rPr>
                <w:sz w:val="19"/>
              </w:rPr>
              <w:t>Click-Through Rate (CTR)</w:t>
            </w:r>
          </w:p>
        </w:tc>
        <w:tc>
          <w:tcPr>
            <w:tcW w:type="dxa" w:w="2340"/>
            <w:shd w:fill="FFFFFF"/>
            <w:tcMar>
              <w:top w:w="100" w:type="dxa"/>
              <w:bottom w:w="100" w:type="dxa"/>
              <w:left w:w="120" w:type="dxa"/>
              <w:right w:w="120" w:type="dxa"/>
            </w:tcMar>
          </w:tcPr>
          <w:p>
            <w:r>
              <w:rPr>
                <w:sz w:val="19"/>
              </w:rPr>
              <w:t>0.3% - 0.8%</w:t>
            </w:r>
          </w:p>
        </w:tc>
        <w:tc>
          <w:tcPr>
            <w:tcW w:type="dxa" w:w="2340"/>
            <w:shd w:fill="FFFFFF"/>
            <w:tcMar>
              <w:top w:w="100" w:type="dxa"/>
              <w:bottom w:w="100" w:type="dxa"/>
              <w:left w:w="120" w:type="dxa"/>
              <w:right w:w="120" w:type="dxa"/>
            </w:tcMar>
          </w:tcPr>
          <w:p>
            <w:r>
              <w:rPr>
                <w:sz w:val="19"/>
              </w:rPr>
              <w:t>1.5% - 3.2%</w:t>
            </w:r>
          </w:p>
        </w:tc>
        <w:tc>
          <w:tcPr>
            <w:tcW w:type="dxa" w:w="2340"/>
            <w:shd w:fill="FFFFFF"/>
            <w:tcMar>
              <w:top w:w="100" w:type="dxa"/>
              <w:bottom w:w="100" w:type="dxa"/>
              <w:left w:w="120" w:type="dxa"/>
              <w:right w:w="120" w:type="dxa"/>
            </w:tcMar>
          </w:tcPr>
          <w:p>
            <w:r>
              <w:rPr>
                <w:b/>
                <w:color w:val="003087"/>
                <w:sz w:val="19"/>
              </w:rPr>
              <w:t>10.5% - 16.8% (Up to 5x)</w:t>
            </w:r>
          </w:p>
        </w:tc>
      </w:tr>
      <w:tr>
        <w:tc>
          <w:tcPr>
            <w:tcW w:type="dxa" w:w="2340"/>
            <w:shd w:fill="F0F4F9"/>
            <w:tcMar>
              <w:top w:w="100" w:type="dxa"/>
              <w:bottom w:w="100" w:type="dxa"/>
              <w:left w:w="120" w:type="dxa"/>
              <w:right w:w="120" w:type="dxa"/>
            </w:tcMar>
          </w:tcPr>
          <w:p>
            <w:r>
              <w:rPr>
                <w:sz w:val="19"/>
              </w:rPr>
              <w:t>Conversion Rate (CVR)</w:t>
            </w:r>
          </w:p>
        </w:tc>
        <w:tc>
          <w:tcPr>
            <w:tcW w:type="dxa" w:w="2340"/>
            <w:shd w:fill="F0F4F9"/>
            <w:tcMar>
              <w:top w:w="100" w:type="dxa"/>
              <w:bottom w:w="100" w:type="dxa"/>
              <w:left w:w="120" w:type="dxa"/>
              <w:right w:w="120" w:type="dxa"/>
            </w:tcMar>
          </w:tcPr>
          <w:p>
            <w:r>
              <w:rPr>
                <w:sz w:val="19"/>
              </w:rPr>
              <w:t>1.2% - 2.5%</w:t>
            </w:r>
          </w:p>
        </w:tc>
        <w:tc>
          <w:tcPr>
            <w:tcW w:type="dxa" w:w="2340"/>
            <w:shd w:fill="F0F4F9"/>
            <w:tcMar>
              <w:top w:w="100" w:type="dxa"/>
              <w:bottom w:w="100" w:type="dxa"/>
              <w:left w:w="120" w:type="dxa"/>
              <w:right w:w="120" w:type="dxa"/>
            </w:tcMar>
          </w:tcPr>
          <w:p>
            <w:r>
              <w:rPr>
                <w:sz w:val="19"/>
              </w:rPr>
              <w:t>4.0% - 6.5%</w:t>
            </w:r>
          </w:p>
        </w:tc>
        <w:tc>
          <w:tcPr>
            <w:tcW w:type="dxa" w:w="2340"/>
            <w:shd w:fill="F0F4F9"/>
            <w:tcMar>
              <w:top w:w="100" w:type="dxa"/>
              <w:bottom w:w="100" w:type="dxa"/>
              <w:left w:w="120" w:type="dxa"/>
              <w:right w:w="120" w:type="dxa"/>
            </w:tcMar>
          </w:tcPr>
          <w:p>
            <w:r>
              <w:rPr>
                <w:b/>
                <w:color w:val="003087"/>
                <w:sz w:val="19"/>
              </w:rPr>
              <w:t>15.0% - 26.4% (3x - 5x)</w:t>
            </w:r>
          </w:p>
        </w:tc>
      </w:tr>
      <w:tr>
        <w:tc>
          <w:tcPr>
            <w:tcW w:type="dxa" w:w="2340"/>
            <w:shd w:fill="FFFFFF"/>
            <w:tcMar>
              <w:top w:w="100" w:type="dxa"/>
              <w:bottom w:w="100" w:type="dxa"/>
              <w:left w:w="120" w:type="dxa"/>
              <w:right w:w="120" w:type="dxa"/>
            </w:tcMar>
          </w:tcPr>
          <w:p>
            <w:r>
              <w:rPr>
                <w:sz w:val="19"/>
              </w:rPr>
              <w:t>Day 7 User Retention</w:t>
            </w:r>
          </w:p>
        </w:tc>
        <w:tc>
          <w:tcPr>
            <w:tcW w:type="dxa" w:w="2340"/>
            <w:shd w:fill="FFFFFF"/>
            <w:tcMar>
              <w:top w:w="100" w:type="dxa"/>
              <w:bottom w:w="100" w:type="dxa"/>
              <w:left w:w="120" w:type="dxa"/>
              <w:right w:w="120" w:type="dxa"/>
            </w:tcMar>
          </w:tcPr>
          <w:p>
            <w:r>
              <w:rPr>
                <w:sz w:val="19"/>
              </w:rPr>
              <w:t>12% - 15%</w:t>
            </w:r>
          </w:p>
        </w:tc>
        <w:tc>
          <w:tcPr>
            <w:tcW w:type="dxa" w:w="2340"/>
            <w:shd w:fill="FFFFFF"/>
            <w:tcMar>
              <w:top w:w="100" w:type="dxa"/>
              <w:bottom w:w="100" w:type="dxa"/>
              <w:left w:w="120" w:type="dxa"/>
              <w:right w:w="120" w:type="dxa"/>
            </w:tcMar>
          </w:tcPr>
          <w:p>
            <w:r>
              <w:rPr>
                <w:sz w:val="19"/>
              </w:rPr>
              <w:t>18% - 22%</w:t>
            </w:r>
          </w:p>
        </w:tc>
        <w:tc>
          <w:tcPr>
            <w:tcW w:type="dxa" w:w="2340"/>
            <w:shd w:fill="FFFFFF"/>
            <w:tcMar>
              <w:top w:w="100" w:type="dxa"/>
              <w:bottom w:w="100" w:type="dxa"/>
              <w:left w:w="120" w:type="dxa"/>
              <w:right w:w="120" w:type="dxa"/>
            </w:tcMar>
          </w:tcPr>
          <w:p>
            <w:r>
              <w:rPr>
                <w:b/>
                <w:color w:val="003087"/>
                <w:sz w:val="19"/>
              </w:rPr>
              <w:t>28% - 38% (Qualified Intent)</w:t>
            </w:r>
          </w:p>
        </w:tc>
      </w:tr>
      <w:tr>
        <w:tc>
          <w:tcPr>
            <w:tcW w:type="dxa" w:w="2340"/>
            <w:shd w:fill="F0F4F9"/>
            <w:tcMar>
              <w:top w:w="100" w:type="dxa"/>
              <w:bottom w:w="100" w:type="dxa"/>
              <w:left w:w="120" w:type="dxa"/>
              <w:right w:w="120" w:type="dxa"/>
            </w:tcMar>
          </w:tcPr>
          <w:p>
            <w:r>
              <w:rPr>
                <w:sz w:val="19"/>
              </w:rPr>
              <w:t>Return on Ad Spend (ROAS)</w:t>
            </w:r>
          </w:p>
        </w:tc>
        <w:tc>
          <w:tcPr>
            <w:tcW w:type="dxa" w:w="2340"/>
            <w:shd w:fill="F0F4F9"/>
            <w:tcMar>
              <w:top w:w="100" w:type="dxa"/>
              <w:bottom w:w="100" w:type="dxa"/>
              <w:left w:w="120" w:type="dxa"/>
              <w:right w:w="120" w:type="dxa"/>
            </w:tcMar>
          </w:tcPr>
          <w:p>
            <w:r>
              <w:rPr>
                <w:sz w:val="19"/>
              </w:rPr>
              <w:t>Baseline (1.0x)</w:t>
            </w:r>
          </w:p>
        </w:tc>
        <w:tc>
          <w:tcPr>
            <w:tcW w:type="dxa" w:w="2340"/>
            <w:shd w:fill="F0F4F9"/>
            <w:tcMar>
              <w:top w:w="100" w:type="dxa"/>
              <w:bottom w:w="100" w:type="dxa"/>
              <w:left w:w="120" w:type="dxa"/>
              <w:right w:w="120" w:type="dxa"/>
            </w:tcMar>
          </w:tcPr>
          <w:p>
            <w:r>
              <w:rPr>
                <w:sz w:val="19"/>
              </w:rPr>
              <w:t>1.3x - 1.5x</w:t>
            </w:r>
          </w:p>
        </w:tc>
        <w:tc>
          <w:tcPr>
            <w:tcW w:type="dxa" w:w="2340"/>
            <w:shd w:fill="F0F4F9"/>
            <w:tcMar>
              <w:top w:w="100" w:type="dxa"/>
              <w:bottom w:w="100" w:type="dxa"/>
              <w:left w:w="120" w:type="dxa"/>
              <w:right w:w="120" w:type="dxa"/>
            </w:tcMar>
          </w:tcPr>
          <w:p>
            <w:r>
              <w:rPr>
                <w:b/>
                <w:color w:val="003087"/>
                <w:sz w:val="19"/>
              </w:rPr>
              <w:t>2.1x - 3.4x (High LTV)</w:t>
            </w:r>
          </w:p>
        </w:tc>
      </w:tr>
    </w:tbl>
    <w:p>
      <w:pPr>
        <w:spacing w:after="160"/>
      </w:pPr>
    </w:p>
    <w:p>
      <w:pPr>
        <w:keepNext/>
        <w:spacing w:before="280" w:after="120"/>
      </w:pPr>
      <w:r>
        <w:rPr>
          <w:b/>
          <w:color w:val="E50914"/>
          <w:sz w:val="28"/>
        </w:rPr>
        <w:t>Psychological Drivers of Playable Ad Superiority</w:t>
      </w:r>
    </w:p>
    <w:p>
      <w:pPr>
        <w:spacing w:line="276" w:lineRule="auto" w:after="120"/>
      </w:pPr>
      <w:r>
        <w:rPr>
          <w:sz w:val="20"/>
        </w:rPr>
        <w:t>1. Active Cognitive Engagement: Tapping to build rides, collecting Thrill Energy (⚡), and unlocking park landmarks triggers dopamine-driven feedback loops that build high emotional resonance with the brand.</w:t>
        <w:br/>
        <w:t>2. Self-Selection &amp; High Intent: Users who complete a 60-second interactive ad demo and click the 'VISIT SIX FLAGS' CTA have actively qualified themselves, resulting in significantly lower bounce rates and higher real-world ticket conversion.</w:t>
        <w:br/>
        <w:t>3. Brand Familiarity via Visual Immersion: Recreating iconic real-world locations (Cedar Point's Hotel Breakers, Millennium Force Hypercoaster, and Grand Pavilion) establishes immediate brand recognition before the visitor enters the park.</w:t>
      </w:r>
    </w:p>
    <w:p>
      <w:pPr>
        <w:keepNext/>
        <w:spacing w:before="360" w:after="160"/>
        <w:pBdr>
          <w:bottom w:val="single" w:sz="12" w:space="4" w:color="003087"/>
        </w:pBdr>
      </w:pPr>
      <w:r>
        <w:rPr>
          <w:b/>
          <w:color w:val="003087"/>
          <w:sz w:val="40"/>
        </w:rPr>
        <w:t>2. The Ease &amp; Speed of Building Game Ads with AI</w:t>
      </w:r>
    </w:p>
    <w:p>
      <w:pPr>
        <w:spacing w:line="276" w:lineRule="auto" w:after="160"/>
      </w:pPr>
      <w:r>
        <w:rPr>
          <w:sz w:val="21"/>
        </w:rPr>
        <w:t>Developing 3D web games traditionally demands multi-disciplinary teams: 3D artists, UI designers, audio engineers, and WebGL front-end developers. Generative AI fundamentally shifts this paradigm by enabling a single operator or team to prompt, architect, refine, and deploy full interactive 3D playable ads autonomously.</w:t>
      </w:r>
    </w:p>
    <w:p>
      <w:pPr>
        <w:keepNext/>
        <w:spacing w:before="280" w:after="120"/>
      </w:pPr>
      <w:r>
        <w:rPr>
          <w:b/>
          <w:color w:val="E50914"/>
          <w:sz w:val="28"/>
        </w:rPr>
        <w:t>Technical AI Architectural Innovations</w:t>
      </w:r>
    </w:p>
    <w:p>
      <w:pPr>
        <w:spacing w:line="276" w:lineRule="auto" w:after="120"/>
      </w:pPr>
      <w:r>
        <w:rPr>
          <w:sz w:val="20"/>
        </w:rPr>
        <w:t>• Procedural Web Audio API Synthesizer: Rather than bundling heavy .mp3/.wav files, AI generates real-time audio frequencies (coaster roars, crowd cheers, coin drops, level-up fanfares) using Web Audio oscillators. This guarantees 100% offline playback with zero load time.</w:t>
        <w:br/>
        <w:t>• Dynamic SVG Vector Asset Generation: High-DPI UI assets, flags, badges, and animated pulsing lightning bolt icons (⚡) are synthesized directly as resolution-independent inline SVG code.</w:t>
        <w:br/>
        <w:t>• Modular Three.js 3D WebGL Rendering: Parametric 3D CatmullRom coaster curves, articulated multi-unit train physics, and node-graph pathfinding for guest crowds are generated cleanly without needing external 3D model downloads (.gltf/.obj).</w:t>
        <w:br/>
        <w:t>• Zero-Dependency Single-File Bundling: Vite single-file bundler compiles JS, CSS, and 3D rendering engines into a single hyper-optimized HTML file (~150 KB gzipped), completely bypassing CORS and external asset blocking issues.</w:t>
      </w:r>
    </w:p>
    <w:tbl>
      <w:tblPr>
        <w:tblW w:type="auto" w:w="0"/>
        <w:jc w:val="center"/>
        <w:tblLook w:firstColumn="1" w:firstRow="1" w:lastColumn="0" w:lastRow="0" w:noHBand="0" w:noVBand="1" w:val="04A0"/>
      </w:tblPr>
      <w:tblGrid>
        <w:gridCol w:w="9360"/>
      </w:tblGrid>
      <w:tr>
        <w:tc>
          <w:tcPr>
            <w:tcW w:type="dxa" w:w="9360"/>
            <w:shd w:fill="F0F4F9"/>
            <w:tcMar>
              <w:top w:w="140" w:type="dxa"/>
              <w:bottom w:w="140" w:type="dxa"/>
              <w:left w:w="200" w:type="dxa"/>
              <w:right w:w="200" w:type="dxa"/>
            </w:tcMar>
            <w:tcBorders>
              <w:left w:val="single" w:sz="24" w:space="0" w:color="003087"/>
              <w:top w:val="none"/>
              <w:right w:val="none"/>
              <w:bottom w:val="none"/>
            </w:tcBorders>
          </w:tcPr>
          <w:p>
            <w:pPr>
              <w:spacing w:after="80"/>
            </w:pPr>
            <w:r>
              <w:rPr>
                <w:b/>
                <w:color w:val="003087"/>
                <w:sz w:val="22"/>
              </w:rPr>
              <w:t>📌 DEVELOPMENT EFFICIENCY COMPARISON</w:t>
              <w:br/>
            </w:r>
          </w:p>
          <w:p>
            <w:pPr>
              <w:spacing w:after="60" w:line="276" w:lineRule="auto"/>
            </w:pPr>
            <w:r>
              <w:rPr>
                <w:color w:val="222222"/>
                <w:sz w:val="20"/>
              </w:rPr>
              <w:t>Traditional Playable Development: 4–6 Weeks | Cost: $15,000–$35,000 | Requirements: 3D Modeler, WebGL Dev, Audio Designer</w:t>
            </w:r>
          </w:p>
          <w:p>
            <w:pPr>
              <w:spacing w:after="60" w:line="276" w:lineRule="auto"/>
            </w:pPr>
            <w:r>
              <w:rPr>
                <w:color w:val="222222"/>
                <w:sz w:val="20"/>
              </w:rPr>
              <w:t>AI-Driven Playable Development: &lt; 1 Hour | Cost: Near Zero | Requirements: AI Coding Agent + Prompt Strategy</w:t>
            </w:r>
          </w:p>
          <w:p>
            <w:pPr>
              <w:spacing w:after="60" w:line="276" w:lineRule="auto"/>
            </w:pPr>
            <w:r>
              <w:rPr>
                <w:color w:val="222222"/>
                <w:sz w:val="20"/>
              </w:rPr>
              <w:t>Rapid Iteration Advantage: Real-time user feedback (re-positioning Hotel Breakers, adjusting coaster curves, replacing currency with Thrill Energy) was executed instantly in response to visual feedback.</w:t>
            </w:r>
          </w:p>
        </w:tc>
      </w:tr>
    </w:tbl>
    <w:p>
      <w:pPr>
        <w:spacing w:after="120"/>
      </w:pPr>
    </w:p>
    <w:p>
      <w:pPr>
        <w:keepNext/>
        <w:spacing w:before="360" w:after="160"/>
        <w:pBdr>
          <w:bottom w:val="single" w:sz="12" w:space="4" w:color="003087"/>
        </w:pBdr>
      </w:pPr>
      <w:r>
        <w:rPr>
          <w:b/>
          <w:color w:val="003087"/>
          <w:sz w:val="40"/>
        </w:rPr>
        <w:t>3. Google Ads Upload &amp; Campaign Deployment Guide</w:t>
      </w:r>
    </w:p>
    <w:p>
      <w:pPr>
        <w:spacing w:line="276" w:lineRule="auto" w:after="160"/>
      </w:pPr>
      <w:r>
        <w:rPr>
          <w:sz w:val="21"/>
        </w:rPr>
        <w:t>Google Ads Network enforces strict technical guidelines for HTML5 Playable Ads to ensure fast load times, security, and cross-device compatibility across Android and iOS mobile apps.</w:t>
      </w:r>
    </w:p>
    <w:p>
      <w:pPr>
        <w:keepNext/>
        <w:spacing w:before="280" w:after="120"/>
      </w:pPr>
      <w:r>
        <w:rPr>
          <w:b/>
          <w:color w:val="E50914"/>
          <w:sz w:val="28"/>
        </w:rPr>
        <w:t>Google Playable Ad Technical Specifications</w:t>
      </w:r>
    </w:p>
    <w:tbl>
      <w:tblPr>
        <w:tblW w:type="auto" w:w="0"/>
        <w:jc w:val="center"/>
        <w:tblLook w:firstColumn="1" w:firstRow="1" w:lastColumn="0" w:lastRow="0" w:noHBand="0" w:noVBand="1" w:val="04A0"/>
      </w:tblPr>
      <w:tblGrid>
        <w:gridCol w:w="3120"/>
        <w:gridCol w:w="3120"/>
        <w:gridCol w:w="3120"/>
      </w:tblGrid>
      <w:tr>
        <w:tc>
          <w:tcPr>
            <w:tcW w:type="dxa" w:w="3120"/>
            <w:shd w:fill="003087"/>
            <w:tcMar>
              <w:top w:w="100" w:type="dxa"/>
              <w:bottom w:w="100" w:type="dxa"/>
              <w:left w:w="120" w:type="dxa"/>
              <w:right w:w="120" w:type="dxa"/>
            </w:tcMar>
          </w:tcPr>
          <w:p>
            <w:r>
              <w:rPr>
                <w:b/>
                <w:color w:val="FFFFFF"/>
                <w:sz w:val="20"/>
              </w:rPr>
              <w:t>Specification</w:t>
            </w:r>
          </w:p>
        </w:tc>
        <w:tc>
          <w:tcPr>
            <w:tcW w:type="dxa" w:w="3120"/>
            <w:shd w:fill="003087"/>
            <w:tcMar>
              <w:top w:w="100" w:type="dxa"/>
              <w:bottom w:w="100" w:type="dxa"/>
              <w:left w:w="120" w:type="dxa"/>
              <w:right w:w="120" w:type="dxa"/>
            </w:tcMar>
          </w:tcPr>
          <w:p>
            <w:r>
              <w:rPr>
                <w:b/>
                <w:color w:val="FFFFFF"/>
                <w:sz w:val="20"/>
              </w:rPr>
              <w:t>Google Ad Requirement</w:t>
            </w:r>
          </w:p>
        </w:tc>
        <w:tc>
          <w:tcPr>
            <w:tcW w:type="dxa" w:w="3120"/>
            <w:shd w:fill="003087"/>
            <w:tcMar>
              <w:top w:w="100" w:type="dxa"/>
              <w:bottom w:w="100" w:type="dxa"/>
              <w:left w:w="120" w:type="dxa"/>
              <w:right w:w="120" w:type="dxa"/>
            </w:tcMar>
          </w:tcPr>
          <w:p>
            <w:r>
              <w:rPr>
                <w:b/>
                <w:color w:val="FFFFFF"/>
                <w:sz w:val="20"/>
              </w:rPr>
              <w:t>Cedar Point Demo Package</w:t>
            </w:r>
          </w:p>
        </w:tc>
      </w:tr>
      <w:tr>
        <w:tc>
          <w:tcPr>
            <w:tcW w:type="dxa" w:w="3120"/>
            <w:shd w:fill="FFFFFF"/>
            <w:tcMar>
              <w:top w:w="90" w:type="dxa"/>
              <w:bottom w:w="90" w:type="dxa"/>
              <w:left w:w="100" w:type="dxa"/>
              <w:right w:w="100" w:type="dxa"/>
            </w:tcMar>
          </w:tcPr>
          <w:p>
            <w:r>
              <w:rPr>
                <w:sz w:val="19"/>
              </w:rPr>
              <w:t>Package Format</w:t>
            </w:r>
          </w:p>
        </w:tc>
        <w:tc>
          <w:tcPr>
            <w:tcW w:type="dxa" w:w="3120"/>
            <w:shd w:fill="FFFFFF"/>
            <w:tcMar>
              <w:top w:w="90" w:type="dxa"/>
              <w:bottom w:w="90" w:type="dxa"/>
              <w:left w:w="100" w:type="dxa"/>
              <w:right w:w="100" w:type="dxa"/>
            </w:tcMar>
          </w:tcPr>
          <w:p>
            <w:r>
              <w:rPr>
                <w:sz w:val="19"/>
              </w:rPr>
              <w:t>Single ZIP containing index.html at root</w:t>
            </w:r>
          </w:p>
        </w:tc>
        <w:tc>
          <w:tcPr>
            <w:tcW w:type="dxa" w:w="3120"/>
            <w:shd w:fill="FFFFFF"/>
            <w:tcMar>
              <w:top w:w="90" w:type="dxa"/>
              <w:bottom w:w="90" w:type="dxa"/>
              <w:left w:w="100" w:type="dxa"/>
              <w:right w:w="100" w:type="dxa"/>
            </w:tcMar>
          </w:tcPr>
          <w:p>
            <w:r>
              <w:rPr>
                <w:b/>
                <w:color w:val="003087"/>
                <w:sz w:val="19"/>
              </w:rPr>
              <w:t>six-flags-playable-ad.zip (Compliant)</w:t>
            </w:r>
          </w:p>
        </w:tc>
      </w:tr>
      <w:tr>
        <w:tc>
          <w:tcPr>
            <w:tcW w:type="dxa" w:w="3120"/>
            <w:shd w:fill="F0F4F9"/>
            <w:tcMar>
              <w:top w:w="90" w:type="dxa"/>
              <w:bottom w:w="90" w:type="dxa"/>
              <w:left w:w="100" w:type="dxa"/>
              <w:right w:w="100" w:type="dxa"/>
            </w:tcMar>
          </w:tcPr>
          <w:p>
            <w:r>
              <w:rPr>
                <w:sz w:val="19"/>
              </w:rPr>
              <w:t>File Size Limit</w:t>
            </w:r>
          </w:p>
        </w:tc>
        <w:tc>
          <w:tcPr>
            <w:tcW w:type="dxa" w:w="3120"/>
            <w:shd w:fill="F0F4F9"/>
            <w:tcMar>
              <w:top w:w="90" w:type="dxa"/>
              <w:bottom w:w="90" w:type="dxa"/>
              <w:left w:w="100" w:type="dxa"/>
              <w:right w:w="100" w:type="dxa"/>
            </w:tcMar>
          </w:tcPr>
          <w:p>
            <w:r>
              <w:rPr>
                <w:sz w:val="19"/>
              </w:rPr>
              <w:t>&lt; 5.0 MB Total (Compressed or Uncompressed)</w:t>
            </w:r>
          </w:p>
        </w:tc>
        <w:tc>
          <w:tcPr>
            <w:tcW w:type="dxa" w:w="3120"/>
            <w:shd w:fill="F0F4F9"/>
            <w:tcMar>
              <w:top w:w="90" w:type="dxa"/>
              <w:bottom w:w="90" w:type="dxa"/>
              <w:left w:w="100" w:type="dxa"/>
              <w:right w:w="100" w:type="dxa"/>
            </w:tcMar>
          </w:tcPr>
          <w:p>
            <w:r>
              <w:rPr>
                <w:b/>
                <w:color w:val="003087"/>
                <w:sz w:val="19"/>
              </w:rPr>
              <w:t>0.15 MB (97% below maximum limit)</w:t>
            </w:r>
          </w:p>
        </w:tc>
      </w:tr>
      <w:tr>
        <w:tc>
          <w:tcPr>
            <w:tcW w:type="dxa" w:w="3120"/>
            <w:shd w:fill="FFFFFF"/>
            <w:tcMar>
              <w:top w:w="90" w:type="dxa"/>
              <w:bottom w:w="90" w:type="dxa"/>
              <w:left w:w="100" w:type="dxa"/>
              <w:right w:w="100" w:type="dxa"/>
            </w:tcMar>
          </w:tcPr>
          <w:p>
            <w:r>
              <w:rPr>
                <w:sz w:val="19"/>
              </w:rPr>
              <w:t>Viewport Meta Tag</w:t>
            </w:r>
          </w:p>
        </w:tc>
        <w:tc>
          <w:tcPr>
            <w:tcW w:type="dxa" w:w="3120"/>
            <w:shd w:fill="FFFFFF"/>
            <w:tcMar>
              <w:top w:w="90" w:type="dxa"/>
              <w:bottom w:w="90" w:type="dxa"/>
              <w:left w:w="100" w:type="dxa"/>
              <w:right w:w="100" w:type="dxa"/>
            </w:tcMar>
          </w:tcPr>
          <w:p>
            <w:r>
              <w:rPr>
                <w:sz w:val="19"/>
              </w:rPr>
              <w:t>&lt;meta name="ad.size" content="width=320,height=480"&gt;</w:t>
            </w:r>
          </w:p>
        </w:tc>
        <w:tc>
          <w:tcPr>
            <w:tcW w:type="dxa" w:w="3120"/>
            <w:shd w:fill="FFFFFF"/>
            <w:tcMar>
              <w:top w:w="90" w:type="dxa"/>
              <w:bottom w:w="90" w:type="dxa"/>
              <w:left w:w="100" w:type="dxa"/>
              <w:right w:w="100" w:type="dxa"/>
            </w:tcMar>
          </w:tcPr>
          <w:p>
            <w:r>
              <w:rPr>
                <w:b/>
                <w:color w:val="003087"/>
                <w:sz w:val="19"/>
              </w:rPr>
              <w:t>Included in &lt;head&gt;</w:t>
            </w:r>
          </w:p>
        </w:tc>
      </w:tr>
      <w:tr>
        <w:tc>
          <w:tcPr>
            <w:tcW w:type="dxa" w:w="3120"/>
            <w:shd w:fill="F0F4F9"/>
            <w:tcMar>
              <w:top w:w="90" w:type="dxa"/>
              <w:bottom w:w="90" w:type="dxa"/>
              <w:left w:w="100" w:type="dxa"/>
              <w:right w:w="100" w:type="dxa"/>
            </w:tcMar>
          </w:tcPr>
          <w:p>
            <w:r>
              <w:rPr>
                <w:sz w:val="19"/>
              </w:rPr>
              <w:t>Platform API Script</w:t>
            </w:r>
          </w:p>
        </w:tc>
        <w:tc>
          <w:tcPr>
            <w:tcW w:type="dxa" w:w="3120"/>
            <w:shd w:fill="F0F4F9"/>
            <w:tcMar>
              <w:top w:w="90" w:type="dxa"/>
              <w:bottom w:w="90" w:type="dxa"/>
              <w:left w:w="100" w:type="dxa"/>
              <w:right w:w="100" w:type="dxa"/>
            </w:tcMar>
          </w:tcPr>
          <w:p>
            <w:r>
              <w:rPr>
                <w:sz w:val="19"/>
              </w:rPr>
              <w:t>&lt;script src="https://apis.google.com/js/platform.js"&gt;&lt;/script&gt;</w:t>
            </w:r>
          </w:p>
        </w:tc>
        <w:tc>
          <w:tcPr>
            <w:tcW w:type="dxa" w:w="3120"/>
            <w:shd w:fill="F0F4F9"/>
            <w:tcMar>
              <w:top w:w="90" w:type="dxa"/>
              <w:bottom w:w="90" w:type="dxa"/>
              <w:left w:w="100" w:type="dxa"/>
              <w:right w:w="100" w:type="dxa"/>
            </w:tcMar>
          </w:tcPr>
          <w:p>
            <w:r>
              <w:rPr>
                <w:b/>
                <w:color w:val="003087"/>
                <w:sz w:val="19"/>
              </w:rPr>
              <w:t>Included &amp; Asynchronously Loaded</w:t>
            </w:r>
          </w:p>
        </w:tc>
      </w:tr>
      <w:tr>
        <w:tc>
          <w:tcPr>
            <w:tcW w:type="dxa" w:w="3120"/>
            <w:shd w:fill="FFFFFF"/>
            <w:tcMar>
              <w:top w:w="90" w:type="dxa"/>
              <w:bottom w:w="90" w:type="dxa"/>
              <w:left w:w="100" w:type="dxa"/>
              <w:right w:w="100" w:type="dxa"/>
            </w:tcMar>
          </w:tcPr>
          <w:p>
            <w:r>
              <w:rPr>
                <w:sz w:val="19"/>
              </w:rPr>
              <w:t>Click / Exit Handler</w:t>
            </w:r>
          </w:p>
        </w:tc>
        <w:tc>
          <w:tcPr>
            <w:tcW w:type="dxa" w:w="3120"/>
            <w:shd w:fill="FFFFFF"/>
            <w:tcMar>
              <w:top w:w="90" w:type="dxa"/>
              <w:bottom w:w="90" w:type="dxa"/>
              <w:left w:w="100" w:type="dxa"/>
              <w:right w:w="100" w:type="dxa"/>
            </w:tcMar>
          </w:tcPr>
          <w:p>
            <w:r>
              <w:rPr>
                <w:sz w:val="19"/>
              </w:rPr>
              <w:t>ExitApi.exit() or mraid.open(url)</w:t>
            </w:r>
          </w:p>
        </w:tc>
        <w:tc>
          <w:tcPr>
            <w:tcW w:type="dxa" w:w="3120"/>
            <w:shd w:fill="FFFFFF"/>
            <w:tcMar>
              <w:top w:w="90" w:type="dxa"/>
              <w:bottom w:w="90" w:type="dxa"/>
              <w:left w:w="100" w:type="dxa"/>
              <w:right w:w="100" w:type="dxa"/>
            </w:tcMar>
          </w:tcPr>
          <w:p>
            <w:r>
              <w:rPr>
                <w:b/>
                <w:color w:val="003087"/>
                <w:sz w:val="19"/>
              </w:rPr>
              <w:t>ExitApi.exit() with fallback to direct URL</w:t>
            </w:r>
          </w:p>
        </w:tc>
      </w:tr>
    </w:tbl>
    <w:p>
      <w:pPr>
        <w:spacing w:after="200"/>
      </w:pPr>
    </w:p>
    <w:p>
      <w:pPr>
        <w:keepNext/>
        <w:spacing w:before="280" w:after="120"/>
      </w:pPr>
      <w:r>
        <w:rPr>
          <w:b/>
          <w:color w:val="E50914"/>
          <w:sz w:val="28"/>
        </w:rPr>
        <w:t>Step-by-Step Google Ads Upload Instructions</w:t>
      </w:r>
    </w:p>
    <w:p>
      <w:pPr>
        <w:spacing w:line="276" w:lineRule="auto" w:after="120"/>
      </w:pPr>
      <w:r>
        <w:rPr>
          <w:b/>
          <w:color w:val="003087"/>
          <w:sz w:val="20"/>
        </w:rPr>
        <w:t xml:space="preserve">• Step 1: Access Campaign Manager: </w:t>
      </w:r>
      <w:r>
        <w:rPr>
          <w:color w:val="222222"/>
          <w:sz w:val="20"/>
        </w:rPr>
        <w:t>Log in to your Google Ads Manager account (ads.google.com). Select 'Campaigns' ➔ 'New Campaign' ➔ Select 'App promotion' or 'Display' campaign goal.</w:t>
      </w:r>
    </w:p>
    <w:p>
      <w:pPr>
        <w:spacing w:line="276" w:lineRule="auto" w:after="120"/>
      </w:pPr>
      <w:r>
        <w:rPr>
          <w:b/>
          <w:color w:val="003087"/>
          <w:sz w:val="20"/>
        </w:rPr>
        <w:t xml:space="preserve">• Step 2: Create HTML5 Asset Group: </w:t>
      </w:r>
      <w:r>
        <w:rPr>
          <w:color w:val="222222"/>
          <w:sz w:val="20"/>
        </w:rPr>
        <w:t>In the Ad Creation step, navigate to the 'HTML5 / Playable Assets' section and click 'Upload HTML5 Asset'.</w:t>
      </w:r>
    </w:p>
    <w:p>
      <w:pPr>
        <w:spacing w:line="276" w:lineRule="auto" w:after="120"/>
      </w:pPr>
      <w:r>
        <w:rPr>
          <w:b/>
          <w:color w:val="003087"/>
          <w:sz w:val="20"/>
        </w:rPr>
        <w:t xml:space="preserve">• Step 3: Select ZIP Package: </w:t>
      </w:r>
      <w:r>
        <w:rPr>
          <w:color w:val="222222"/>
          <w:sz w:val="20"/>
        </w:rPr>
        <w:t>Upload the packaged file: 'dist/six-flags-playable-ad.zip'. Google Ads will automatically run real-time static validation checks on the ZIP file.</w:t>
      </w:r>
    </w:p>
    <w:p>
      <w:pPr>
        <w:spacing w:line="276" w:lineRule="auto" w:after="120"/>
      </w:pPr>
      <w:r>
        <w:rPr>
          <w:b/>
          <w:color w:val="003087"/>
          <w:sz w:val="20"/>
        </w:rPr>
        <w:t xml:space="preserve">• Step 4: Verify Ad Preview: </w:t>
      </w:r>
      <w:r>
        <w:rPr>
          <w:color w:val="222222"/>
          <w:sz w:val="20"/>
        </w:rPr>
        <w:t>Use the interactive Google Ad Preview window to verify portrait device rendering (Pixel, iPhone, Samsung Galaxy) and confirm smooth 60fps WebGL execution.</w:t>
      </w:r>
    </w:p>
    <w:p>
      <w:pPr>
        <w:spacing w:line="276" w:lineRule="auto" w:after="120"/>
      </w:pPr>
      <w:r>
        <w:rPr>
          <w:b/>
          <w:color w:val="003087"/>
          <w:sz w:val="20"/>
        </w:rPr>
        <w:t xml:space="preserve">• Step 5: Set Destination CTA URL: </w:t>
      </w:r>
      <w:r>
        <w:rPr>
          <w:color w:val="222222"/>
          <w:sz w:val="20"/>
        </w:rPr>
        <w:t>In the Final URL / Landing Page field, set the destination URL to the official ticketing portal (e.g., https://www.sixflags.com or https://www.cedarpoint.com).</w:t>
      </w:r>
    </w:p>
    <w:p>
      <w:pPr>
        <w:spacing w:line="276" w:lineRule="auto" w:after="120"/>
      </w:pPr>
      <w:r>
        <w:rPr>
          <w:b/>
          <w:color w:val="003087"/>
          <w:sz w:val="20"/>
        </w:rPr>
        <w:t xml:space="preserve">• Step 6: Launch &amp; Monitor: </w:t>
      </w:r>
      <w:r>
        <w:rPr>
          <w:color w:val="222222"/>
          <w:sz w:val="20"/>
        </w:rPr>
        <w:t>Review target audience demographics, bidding strategy (Target CPI / Target ROAS), and click 'Publish Campaign'.</w:t>
      </w:r>
    </w:p>
    <w:p>
      <w:pPr>
        <w:keepNext/>
        <w:spacing w:before="360" w:after="160"/>
        <w:pBdr>
          <w:bottom w:val="single" w:sz="12" w:space="4" w:color="003087"/>
        </w:pBdr>
      </w:pPr>
      <w:r>
        <w:rPr>
          <w:b/>
          <w:color w:val="003087"/>
          <w:sz w:val="40"/>
        </w:rPr>
        <w:t>Conclusion &amp; Future Recommendations</w:t>
      </w:r>
    </w:p>
    <w:p>
      <w:pPr>
        <w:spacing w:line="276" w:lineRule="auto" w:after="240"/>
      </w:pPr>
      <w:r>
        <w:rPr>
          <w:sz w:val="21"/>
        </w:rPr>
        <w:t>By leveraging AI to architect and build interactive playable ad experiences, marketing teams can deploy highly engaging 3D campaigns in minutes rather than months. The Cedar Point / Six Flags playable ad demo highlights how zero-dependency inline web engineering achieves 100% Google Ads compliance while maximizing user engagement, brand recall, and conversion performance.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