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Portfolio Data Operations Analyst opportunity with Addepar. I am interested in this opportunity because Addepar’s mission to unify complex financial data for the world’s leading investment firms aligns perfectly with my background in building robust, scalable data pipelines and my passion for data-driven problem solving. What interests me about working for Addepar is its commitment to driving innovation in the investment management space and its dedication to the 'Act Like an Owner' value, which inspires me because I thrive in environments where I can take full accountability for data accuracy and operational excellence. I believe my expertise in building automated ETL pipelines and my rigorous approach to data validation would make me a strong candidate for this role. During my professional career, I have approached problems with a focus on eliminating inefficiencies and ensuring data integrity. In fact, at Shine Masters, I developed Python-based automation to ingest complex CRM and POS datasets, which eliminated manual entry errors and saved 8 hours per week while establishing a 'single source of truth' for organizational KPIs. Ultimately, I know that the Portfolio Data Operations Analyst role at Addepar would allow me to bring my technical proficiency in SQL and Python to ensure data accuracy and availability within tight SLAs. Additionally, my role as a Data Analyst &amp; Operations Lead enabled me to develop my stakeholder communication skills. When working with business stakeholders, I successfully translated raw, complex findings into actionable business recommendations, closing the gap between technical data and strategic growth. This experience in managing operational workflows and cross-functional alignment prepared me to excel in the communication-heavy nature of the Portfolio Data Operations team. I’m excited by the opportunity to use my background in data quality engineering in working on the critical task of verifying portfolio account data at Addepar. I know that my analytical mindset and technical capabilities align with what it takes to succeed at the Portfolio Data Operations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