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opportunity with Alpha Search Advisors. I am interested in this opportunity because of the firm’s reputation for integrating complex engineering with high-stakes investment decision-making. What interests me about working for Alpha Search Advisors is its approach to quantitative research and rigorous data-driven methodology, which intrigues me because of my own background in building high-performance pipelines and automated analytical systems. I believe my expertise in Python-based software design and my ability to translate technical research into production-ready systems would make me a strong candidate for this role. During my professional career, I have approached problems by prioritizing performance and modular design. In fact, while at Haven Technologies, I worked closely with cross-functional stakeholders to align complex software features with business objectives. I built robust integration pipelines that synchronized relational data across systems, which reduced UI bugs and significantly improved data accuracy for our internal investment-focused stakeholders. This effort resulted in a 60% improvement in data integrity, directly supporting the stability of our trading-related platforms. Ultimately, I know that the Software Engineer role at Alpha Search Advisors would allow me to bring my background in scalable software development to the complex systems powering your investment processes. Additionally, my role as an Analytics &amp; Operations Lead enabled me to develop my quantitative analysis and automation skills. I developed automated revenue and KPI reporting systems that required high precision and reliability. By applying these methodologies to the firm's data infrastructure, I delivered a 40% improvement in operational efficiency, demonstrating my ability to drive commercial value through engineering. I am excited by the opportunity to use my background in cloud infrastructure and Python development in working on high-impact financial systems at Alpha Search Advisors. I know that my technical acumen and commercial mindset align with what it takes to succeed at the Software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