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Intelligence Engineer opportunity with Ascot Group. I am interested in this opportunity because of Ascot’s commitment to the 'Fusion Model' and the use of technology to drive client-centric risk solutions. What interests me about working for Ascot Group is its reputation as a leader in specialty risk underwriting and the emphasis on a collaborative, 'Ascot Way' culture, which inspires me as a data professional dedicated to operational excellence. I believe my proficiency in Power BI data modeling and my experience in SQL-driven data reconciliation would make me a strong candidate for this role. During my professional career, I have approached problems by translating raw, fragmented datasets into actionable business insights. In fact, while at Shine Masters, I identified that manual reporting was causing significant delays; I stepped in to architect a new Power BI reporting framework, building custom DAX measures and semantic models to automate KPI tracking. This initiative reduced data processing time by 40% and accelerated executive decision-making across the organization. Ultimately, I know that the Business Intelligence Engineer role at Ascot Group would allow me to bring my expertise in report development to support the BI Lead in maintaining accurate enterprise dashboards. Additionally, my role as a Data Analyst at Shine Masters enabled me to develop my data validation and ETL skills. I focused on building reliable data pipelines by cleaning and reconciling source information, which improved overall data accuracy by 25%. I am excited by the opportunity to use my SQL and data modeling skills in working on complex insurance reporting at Ascot Group. I know that my technical background and commitment to data quality align with what it takes to succeed at the Business Intelligence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