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Trade Finance &amp; Working Capital Sales Senior Analyst opportunity with BBVA. I am interested in this opportunity because of BBVA’s reputation for driving innovation in global corporate banking and its commitment to digital transformation in trade finance. What interests me about working for BBVA is its strategic approach to leveraging data-driven insights to optimize liquidity solutions for global clients, which inspires me because it mirrors my passion for applying technical analytical rigor to complex financial environments. I believe my expertise in financial data modeling and my ability to automate high-stakes reporting processes would make me a strong candidate for this role. During my professional career, I have approached problems by translating complex, fragmented data into clear, actionable business intelligence. In fact, when tasked with improving operational efficiency at Shine Masters, I identified a bottleneck in our intake and reporting flow; I designed and implemented a series of automated dashboards and Zapier workflows that reduced data processing time by 40% and improved KPI visibility for executive leadership. The result was a 300% increase in customer acquisition, showcasing my ability to turn operational data into bottom-line growth—a skill I am eager to apply to BBVA’s sales and business development efforts. Ultimately, I know that the Trade Finance &amp; Working Capital Sales Senior Analyst role at BBVA would allow me to bring my data-driven decision-making skills to the structuring of trade finance solutions. Additionally, my role as a Full-Stack Software Developer at Haven Technologies (MassMutual) enabled me to develop my cross-functional collaboration skills. I led the reconciliation of large-scale insurance testing data by optimizing relational database queries and working closely with the Underwriting and Product teams to align technical features with business objectives, reducing project delays by 25%. This experience managing tight deadlines and complex documentation prepares me to provide the high level of support required for BBVA’s GTF application model. I’m excited by the opportunity to use my analytical and technical proficiency in working on trade finance products and client relationship management at BBVA. I know that my background in data automation and my commitment to detail align with what it takes to succeed at the Trade Finance &amp; Working Capital Sales Senior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