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Bilingual Executive Assistant opportunity with BCforward. I am interested in this opportunity because of your reputation for excellence in supporting high-level executive operations and your commitment to seamless administrative efficiency. What interests me about working for BCforward is its dynamic approach to global business services; its scale and focus on operational precision intrigue me because it perfectly aligns with my background in high-level executive support. I believe my 10+ years of executive administrative experience and my bilingual proficiency in Spanish would make me a strong candidate for this role. During my professional career, I have approached complex logistical problems with a proactive, solution-oriented mindset. In fact, at Direct Clean Solutions, I was tasked with managing both the operational needs of C-suite executives and the complex logistical requirements for international travel and trade show coordination. By implementing new tracking protocols, I ensured that every detail—from visa compliance to executive briefing preparation—was handled with 100% accuracy, ultimately allowing our leadership team to focus entirely on business development. Ultimately, I know that the Bilingual Executive Assistant role at BCforward would allow me to bring my mastery of complex calendar and travel management to your senior leadership team. Additionally, my role as an Executive Assistant at Direct Clean Solutions enabled me to develop my expense management and technical skills. I consistently utilized tools like Concur and Microsoft Excel to manage budget compliance and financial reporting, ensuring that all T&amp;E claims were processed within strict timelines. This experience resulted in more efficient department operations and improved data accuracy across our CRM and expense reporting systems. I’m excited by the opportunity to use my advanced organizational skills in working on complex travel and stakeholder communications at BCforward. I know that my background in executive support and my ability to navigate the complexities of a matrixed environment align with what it takes to succeed at the Bilingual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