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GP Strategic Capital, Market Insights &amp; Quantitative Analytics – Vice President opportunity with Blue Owl Capital. I am interested in this opportunity because of Blue Owl's position as a leader in private market alternatives and the focus on extracting proprietary, data-driven insights that challenge market conventions. What interests me about working for Blue Owl Capital is its commitment to 'redefining alternatives' through disciplined, analytical rigor, which resonates with my own approach to transforming messy, real-world data into actionable strategy. I believe my expertise in architecting complex data pipelines and my experience in rigorous statistical modeling would make me a strong candidate for this role. During my professional career, I have approached problems by prioritizing data integrity and reproducibility. In fact, at Shine Masters, I identified a gap in reporting accuracy, so I built a Python-based automation framework to ingest POS and CRM data, which allowed for consistent cohort construction and trend analysis. This resulted in a 40% improvement in operational efficiency and provided the statistical evidence required to optimize high-value customer segmentation, directly contributing to a 300% revenue increase in that segment over 12 months. Ultimately, I know that the GP Strategic Capital, Market Insights &amp; Quantitative Analytics – Vice President role at Blue Owl Capital would allow me to bring my technical proficiency in SQL and Python to drive deep analytical work on fund structures and GP economics. Additionally, my role as a Data Analyst &amp; Operations Lead at Shine Masters enabled me to develop my data interpretation and stakeholder communication skills. I designed A/B tests and statistical models to measure marketing lift, ensuring that every strategic recommendation was backed by defensible evidence. I am excited by the opportunity to use my background in building analytical frameworks in working on longitudinal analysis and scenario testing at Blue Owl Capital. I know that my technical fluency and analytical rigor align with what it takes to succeed at the GP Strategic Capital, Market Insights &amp; Quantitative Analytics – Vice President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