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Private Wealth, Sales Reporting &amp; Data Operations - Associate opportunity with Blue Owl Capital. I am interested in this opportunity because of my deep passion for using data to drive sales strategy and operations, specifically within a high-growth asset management environment. What interests me about working for Blue Owl is its reputation for redefining alternatives and its focus on delivering strong, risk-adjusted returns, which excites me as someone who values precision and strategic impact. I believe my expertise in building scalable data automation and my ability to bridge the gap between technical infrastructure and business requirements would make me a strong candidate for this role. During my professional career, I have approached problems by focusing on the 'single source of truth' principle. In fact, at Shine Masters, I identified that disparate reporting systems were causing significant data mismatches. I architected a new workflow using Power BI, SQL, and Python automation to ingest CRM data, which eliminated manual entry errors and improved operational efficiency by 40%. Ultimately, I know that the Private Wealth, Sales Reporting &amp; Data Operations - Associate role at Blue Owl Capital would allow me to bring my data reconciliation expertise to ensure the integrity of your global sales reporting. Additionally, my role as a Data Analyst &amp; Operations Lead enabled me to develop my stakeholder communication skills. When tasked with presenting findings to leadership, I translated complex statistical models into clear, actionable business recommendations that informed marketing spend and resulted in a 300% revenue increase in targeted segments. I am excited by the opportunity to use my advanced proficiency in SQL, Tableau, and Excel to contribute to the Private Wealth team's success at Blue Owl Capital. I know that my background in building automated pipelines and my commitment to data quality align with what it takes to succeed in this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