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Specialist, Data Governance II opportunity with BNY. I am interested in this opportunity because of BNY’s reputation as a leader in global financial infrastructure and its commitment to utilizing cutting-edge technology to drive transformative financial solutions. What interests me about working for BNY is its 'investor-first' approach and the company’s focus on fostering innovation, which aligns perfectly with my professional drive to turn complex data into actionable, compliant intelligence. I believe my expertise in SQL-based data analysis and my background in technical documentation would make me a strong candidate for this role. During my professional career, I have approached problems by prioritizing data integrity and process automation. In fact, while at Haven Technologies, I optimized relational database queries to clean and reconcile insurance testing data, which improved overall data accuracy by 30%. This experience in database-level remediation directly translates to the data quality responsibilities required for this role at BNY. Ultimately, I know that the Specialist, Data Governance II role at BNY would allow me to bring my analytical rigor to the development of robust reporting processes. Additionally, my role as a Data Analyst &amp; Operations Lead at Shine Masters Cleaning Services enabled me to develop my data governance and cross-functional collaboration skills. I spearheaded the transition from manual reporting to automated, high-visibility Power BI dashboards, which involved defining clear data requirements and ensuring consistency across all operational workflows. This resulted in a 40% reduction in data processing time and significantly improved KPI visibility for executive leadership. I’m excited by the opportunity to use my background in data modeling and automated reporting in working on complex regulatory reporting efforts at BNY. I know that my strong technical foundation and passion for data governance align with what it takes to succeed at the Specialist, Data Governance II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