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Strategy Lead opportunity with Bold Charter School. I am interested in this opportunity because of Bold’s commitment to delivering operational excellence as a foundation for world-class education. What interests me about working for Bold Charter School is its data-driven approach to student success and the organization's mission to ensure all students excel, which resonates with my belief that robust systems are the backbone of a high-impact environment. I believe my expertise in architecting data systems and my commitment to stakeholder-driven outcomes would make me a strong candidate for this role. During my professional career, I have approached problems with a focus on efficiency and scalability. In fact, while at Shine Masters, I identified a critical need for centralized reporting and automated workflows. I designed and deployed a suite of Power BI dashboards and Zapier-based data pipelines that replaced manual processes, resulting in a 40% reduction in processing time and a 300% increase in new customer acquisition. Ultimately, I know that the Data Strategy Lead role at Bold Charter School would allow me to bring my data systems design expertise to bear on the organization’s performance monitoring and long-term strategic goals. Additionally, my role as a Data Analyst &amp; Operations Lead at Shine Masters enabled me to develop my project management and stakeholder communication skills. I managed the full lifecycle of data projects, from initial stakeholder requirements gathering to the final delivery of insights, ensuring that every report was not only accurate but also provided clear, actionable recommendations for leadership. I’m excited by the opportunity to use my technical proficiency in SQL, Python, and data modeling to help manage assessments and drive school-wide progress at Bold Charter School. I know that my background in system architecture and my passion for mission-first problem solving align with what it takes to succeed at the Data Strategy Lead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