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Research Analyst opportunity with Capgemini. I am interested in this opportunity because of Capgemini’s reputation as a global leader in leveraging data-driven technology to solve complex business challenges. What interests me about working for Capgemini is its commitment to sustainability and inclusive innovation, which inspires me because it aligns with my personal mission to build impactful solutions through data. I believe my strong background in empirical research and my advanced technical proficiency in Python and Pandas would make me a strong candidate for this role. During my professional career, I have approached problems with a focus on statistical rigor and methodological clarity. In fact, at Shine Masters, I designed and executed A/B testing frameworks to evaluate marketing initiatives, utilizing statistical significance to validate my findings. This initiative directly contributed to a 300% increase in revenue for targeted segments, demonstrating the impact of high-quality research on bottom-line performance. Ultimately, I know that the Research Analyst role at Capgemini would allow me to bring my statistical expertise to the design and execution of targeted research projects regarding ETF market making and client performance. Additionally, my experience as a Data Analyst at Shine Masters enabled me to develop my communication skills. When translating complex datasets for stakeholders, I focused on identifying anomalies and key trends that could be easily consumed by leadership. This approach ensured that my data stories consistently drove faster, more informed strategic decisions across the organization. I’m excited by the opportunity to use my analytical precision in working on market-making research at Capgemini. I know that my technical fluency and commitment to research integrity align with what it takes to succeed as a Research Analyst.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