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Principal Data Scientist - AI Foundations, Specialist Models opportunity with Capital One. I am interested in this opportunity because of Capital One's pioneering legacy in data-driven decision-making and your current focus on applying state-of-the-art transformer and graph machine learning architectures to solve real-world financial challenges. What interests me about working for Capital One is its unique approach to embedding machine learning into every customer touchpoint, which inspires me because it turns massive datasets into tools that help people improve their financial lives. I believe my expertise in building end-to-end machine learning pipelines and my proficiency in Python-based statistical modeling would make me a strong candidate for this role. During my professional career, I have approached problems by prioritizing both technical rigor and clear business impact. In fact, while leading data operations at Shine Masters, I developed time-series models to identify high-value customer segments. By integrating these models with targeted marketing initiatives, I achieved a 300% increase in new customer acquisition over 12 months. Ultimately, I know that the Principal Data Scientist role at Capital One would allow me to bring my experience in feature engineering and model validation to solve complex entity resolution problems. Additionally, my role as a Data Analytics Fellow at COOP Careers enabled me to develop my model evaluation skills. In my Lending Risk Portfolio Analysis project, I managed a 2M+ row dataset, where I performed exploratory data analysis and classification modeling, ensuring the model output was validated against business risk metrics to provide actionable insights for stakeholders. I am excited by the opportunity to use my background in Python and cloud-based data architecture in working on next-generation entity resolution solutions at Capital One. I know that my analytical mindset and technical skills align with what it takes to succeed at the Principal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