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Sr. Analyst, Workforce Management opportunity with Cartier. I am interested in this opportunity because of my deep passion for using data-driven insights to optimize complex operational environments and enhance the employee experience. What interests me about working for Cartier is its reputation for timeless excellence and its commitment to empowering a diverse workforce, which inspires me because it aligns with my belief that operational efficiency is the backbone of high-end client service. I believe my technical proficiency in forecasting and data modeling, and my ability to translate complex data into actionable operational strategy would make me a strong candidate for this role. During my professional career, I have approached problems by focusing on the intersection of human workflows and data accuracy. In fact, while at Shine Masters, I identified a gap in reporting that hindered executive decision-making. I built automated power BI dashboards to track KPI performance, which reduced data processing time by 40% and allowed the team to reallocate 8 hours per week toward high-value lead generation. Ultimately, I know that the Sr. Analyst, Workforce Management role at Cartier would allow me to bring my analytical rigor to optimizing boutique staffing schedules and demand forecasting. Additionally, my role as a Data Analyst &amp; Operations Lead enabled me to develop my process improvement skills. I spearheaded the transition to new automation tools, documenting new SOPs that reduced onboarding time by 50%. This experience in system implementation and documentation will be vital as I assist with WFM configuration and vendor collaboration at Cartier. I am excited by the opportunity to use my background in Python, SQL, and predictive modeling in working on workforce optimization at Cartier. I know that my technical data skills and my commitment to operational excellence align with what it takes to succeed at the Sr. Analyst, Workforce Management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