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Commercial Analyst opportunity with Catalent. I am interested in this opportunity because of Catalent's reputation as a global leader in drug development and its commitment to delivering life-saving therapies. What interests me about working for Catalent is its mission-driven culture and the complexity of its global Clinical Supply Services business, which inspires me to apply my expertise in high-impact data analytics to support your strategic goals. I believe my advanced data modeling and forecasting skills, combined with my ability to synthesize complex performance data into actionable business insights, would make me a strong candidate for this role. During my professional career, I have approached problems with a focus on operational efficiency and data-driven strategy. In fact, while at Shine Masters, I identified a need for better performance tracking and built end-to-end Power BI dashboards to monitor KPIs and sales funnel conversion. By automating these workflows and refining our data models, I contributed to a 300% increase in new customer acquisition over 12 months. Ultimately, I know that the Senior Commercial Analyst role at Catalent would allow me to bring my proficiency in forecasting and pipeline analytics to improve reporting accuracy and decision-making for your global commercial teams. Additionally, my role as a Data Analyst at Shine Masters enabled me to develop my financial and operational acumen. By translating raw performance data into clear executive reports, I reduced process bottlenecks and improved team efficiency by 25%. I am excited by the opportunity to use my background in Python and SQL to work on the complex commercial data challenges at Catalent. I know that my analytical toolkit and my track record of improving decision-making through visualization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