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F&amp;S Analytics - Analyst opportunity with Citi. I am interested in this opportunity because of Citi's global leadership in institutional trading and its sophisticated approach to structuring complex financial products. What interests me about working for Citi is its reputation for technical excellence in quantitative finance; the firm's commitment to leveraging data-driven insights for securitization and risk management aligns perfectly with my professional background. I believe my expertise in building end-to-end data pipelines and my ability to conduct complex statistical analysis would make me a strong candidate for this role. During my professional career, I have approached problems by translating raw, unstructured data into actionable financial intelligence. In fact, while working on a lending risk portfolio project, I designed a comprehensive PostgreSQL data model and a Python-based ETL pipeline to analyze 2M+ rows of loan data. This allowed me to calculate key credit risk metrics and segment high-risk borrowers, which directly supported strategic risk-mitigation decisions. Ultimately, I know that the F&amp;S Analytics - Analyst role at Citi would allow me to bring my technical proficiency in SQL and Python to streamline the analysis of loan information for securitization deals. Additionally, my role as a Data Analyst &amp; Operations Lead at Shine Masters Cleaning Services enabled me to develop my financial modeling and process optimization skills. During this time, I replaced manual reporting with automated Power BI dashboards and built time-series models that contributed to a 300% increase in customer acquisition. The success of these initiatives resulted in a 40% reduction in data processing time, ensuring that leadership had the visibility needed to drive high-stakes operational decisions. I’m excited by the opportunity to use my background in loan risk analysis and financial data modeling to support the structuring team at Citi. I know that my technical rigor and ability to thrive in fast-paced environments align with what it takes to succeed at the F&amp;S Analytics -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