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CITY RESEARCH SCIENTIST LVL-III opportunity with the City of New York. I am interested in this opportunity because of the Department Advocate's Office's commitment to ensuring fairness, transparency, and accountability within the NYPD. What interests me about working for the City of New York is its focus on utilizing rigorous research and data-driven insights to foster community trust and operational excellence. I believe my expertise in advanced data visualization and my experience in managing complex operational workflows would make me a strong candidate for this role. During my professional career, I have approached problems by translating messy, siloed datasets into actionable intelligence. In fact, at Shine Masters, I identified a need for better KPI visibility and built an automated Power BI dashboard suite from the ground up. By incorporating Power Query for data transformation, I reduced manual reporting time by 40% and provided executive leadership with real-time insights that directly fueled a 300% increase in customer acquisition. Ultimately, I know that the CITY RESEARCH SCIENTIST LVL-III role at the City of New York would allow me to bring my technical proficiency in SQL and Python to the enhancement of your disciplinary tracking systems. Additionally, my role as a Data Analyst &amp; Operations Lead at Shine Masters enabled me to develop my supervisory and process-design skills. I oversaw the transition of manual intake workflows into automated systems, documenting SOPs that reduced new hire onboarding time by 50%. This experience in project leadership and workflow optimization translates directly to your team’s need for an analyst who can oversee project development and mentor junior staff. I am excited by the opportunity to use my analytical toolkit in working on trend analysis and case flow procedures at the City of New York. I know that my background in data modeling and my dedication to operational transparency align with what it takes to succeed at the CITY RESEARCH SCIENTIST LVL-III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