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Sr. Analyst, Global Brand Analytics opportunity with Coach. I am interested in this opportunity because of Coach’s commitment to blending heritage craftsmanship with innovative, data-driven consumer experiences. What interests me about working for Coach is its culture of inclusivity and its global ambition to stretch the possibilities of fashion, which intrigues me because of the opportunity to apply advanced analytics to a brand with such a distinct creative identity. I believe my expertise in operationalizing automated reporting and my proficiency in advanced consumer forecasting would make me a strong candidate for this role. During my professional career, I have approached problems by prioritizing scalable automation and data integrity. In fact, while at Shine Masters, I identified a need for better marketing attribution; I developed statistical segmentation models and Python-based automated reporting workflows to replace manual processes. This initiative not only increased revenue in targeted segments by 300% over 12 months but also reduced report discrepancies to near zero. Ultimately, I know that the Sr. Analyst, Global Brand Analytics role at Coach would allow me to bring my technical expertise in SQL and Python to streamline complex measurement frameworks. Additionally, my role as a Data Analyst &amp; Operations Lead enabled me to develop my stakeholder communication and cross-functional leadership skills. I regularly translated complex technical findings from A/B tests into executive-level business recommendations, ensuring that data was not just collected, but utilized to drive strategic growth. I’m excited by the opportunity to use my background in productionizing analytics in working on scalable consumer insights at Coach. I know that my technical rigor and customer-centric analytical approach align with what it takes to succeed at the Sr. Analyst, Global Brand Analytics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