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Non-Student Short-Term Casual opportunity with Columbia University Irving Medical Center. I am interested in this opportunity because of the center's commitment to addressing health disparities through rigorous data-driven research. What interests me about working for Columbia University is its innovative approach to integrating neighborhood-level data to improve trauma outcomes, which intrigues me because of my own passion for using advanced analytics to address systemic challenges. I believe my proficiency in R and Python for data analysis and my experience in rigorous data cleaning and reporting would make me a strong candidate for this role. During my professional career, I have approached problems by translating complex, noisy datasets into clean, actionable insights. In fact, while at Shine Masters, I developed time-series models to identify high-value customer segments, which involved significant data recoding and validation. This work resulted in a 300% increase in new customer acquisition, demonstrating my ability to handle raw data and transform it into meaningful decision-support metrics. Ultimately, I know that the Non-Student Short-Term Casual role at Columbia University would allow me to bring my quantitative expertise to the critical task of identifying roadway mortality disparities. Additionally, my role as a Data Analyst enabled me to develop my literature review and report writing skills. By documenting SOPs and automating reporting workflows, I maintained high standards of data integrity and consistency, which translates directly to the academic rigor required for this position. I’m excited by the opportunity to use my background in data visualization to assist with producing tables and figures for the team. I know that my technical versatility and analytical rigor align with what it takes to succeed at the Non-Student Short-Term Casual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