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Variable Hours Officer opportunity with Columbia University Irving Medical Center. I am interested in this opportunity because of the M3AD Study's critical mission to decode Alzheimer's disease through data-driven insights; as a data professional, I find the application of large-scale EHR analysis to public health challenges incredibly compelling. What interests me about working for Columbia University is its commitment to interdisciplinary research and its reputation for groundbreaking epidemiological studies, which inspires me because it provides the ideal environment to bridge the gap between technical data science and improved clinical outcomes. I believe my expertise in ETL pipeline development and my proficiency in statistical machine learning would make me a strong candidate for this role. During my career, I have approached complex data problems with a focus on standardization and actionable accuracy. In fact, while analyzing a large-scale loan portfolio, I developed a complex PostgreSQL data model and Python-based ETL pipeline to clean and harmonize 2M+ rows of disparate data, ensuring that all missing values and validation checks were addressed before analysis. This methodology resulted in a highly accurate data foundation that allowed for granular risk segmentation and discovery of high-value borrower patterns, a skill set I am eager to apply to the harmonization and federation of EHR data for the M3AD project. Ultimately, I know that the Variable Hours Officer role at Columbia University would allow me to bring my data science and visualization skills to the critical tasks of EHR synthesis and manuscript preparation. Additionally, my background as a Data Analyst &amp; Operations Lead enabled me to develop my regulatory documentation skills. I spearheaded the creation of comprehensive SOPs and data protocols, reducing onboarding time by 50% and ensuring consistent, secure service delivery, which directly translates to the IRB and regulatory reporting requirements of this position. I’m excited by the opportunity to use my machine learning and data visualization skills in working on the M3AD Study’s multi-morbidity research at Columbia University. I know that my technical proficiency and commitment to data integrity align with what it takes to succeed in the Variable Hours Officer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