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Value Engineer opportunity with Courier Health. I am interested in this opportunity because of Courier Health’s mission to transform patient outcomes in the life sciences space; the potential to impact the complex journey from diagnosis to therapy is deeply motivating to me. What interests me about working for Courier Health is its focus on leveraging data to drive meaningful patient support, which aligns perfectly with my background in transforming complex datasets into actionable narratives. I believe my expertise in automated value reporting and my experience in cross-functional data storytelling would make me a strong candidate for this role. During my professional career, I have approached problems by prioritizing both technical rigor and clear communication. In fact, at Shine Masters, I identified a bottleneck in client acquisition and developed time-series models and cohort studies to segment high-value customers, which ultimately contributed to a 300% increase in new customer acquisition over 12 months. This experience taught me how to quantify business impact and communicate findings clearly to executive stakeholders. Ultimately, I know that the Value Engineer role at Courier Health would allow me to bring my proficiency in automated dashboarding and cohort analysis to effectively measure and communicate the platform's value to your clients. Additionally, my role as a Data Analyst &amp; Operations Lead enabled me to develop my ability to handle complex, time-sensitive analytical requests. I designed and implemented automated ETL pipelines that replaced manual reporting, saving 8 hours per week and allowing the team to focus on strategic lead generation. This work proved that my ability to build scalable data infrastructure directly translates to better business efficiency. I am excited by the opportunity to use my background in Python, SQL, and Power BI to build the future of patient engagement at Courier Health. I know that my analytical rigor and dedication to data-driven storytelling align with what it takes to succeed in the Value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