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AI and Data Science Engineer II opportunity with Deloitte. I am interested in this opportunity because of Deloitte's reputation for integrating advanced analytics and Generative AI into client-facing marketing strategies. What interests me about working for Deloitte is its commitment to solving complex, customer-centric problems through innovation, which inspires me because I am passionate about translating raw data into meaningful business growth. I believe my expertise in marketing analytics and my strong proficiency in Python and SQL-based ETL pipelines would make me a strong candidate for this role. During my professional career, I have approached problems by prioritizing data-driven decision-making. In fact, while at Shine Masters Cleaning Services, I developed time-series models and customer segmentation strategies that resulted in a 300% increase in new customer acquisition over 12 months. Ultimately, I know that the AI and Data Science Engineer II role at Deloitte would allow me to bring my predictive modeling skills to bear on key marketing and advertising challenges. Additionally, my role as a Data Analytics Fellow at COOP Careers enabled me to develop my exploratory data analysis and data visualization skills. I conducted deep-dive analyses on 250K+ row datasets, identifying demographic patterns that informed city safety strategies and presented these findings to diverse stakeholders. I’m excited by the opportunity to use my machine learning and predictive modeling skills in working on personalized marketing platforms at Deloitte. I know that my technical background and my commitment to data-driven storytelling align with what it takes to succeed at the AI and Data Science Engineer II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