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Analytics and Insights Engineer III opportunity with Deloitte. I am interested in this opportunity because of Deloitte's reputation for integrating advanced analytics and Generative AI to solve complex customer experience challenges. What interests me about working for Deloitte is its commitment to balancing business strategy with transformative technology; this holistic approach inspires me because it mirrors my own philosophy of using data not just for reporting, but as a catalyst for sustained commercial growth. I believe my expertise in architecting data pipelines and my ability to translate complex analytics into executive-level strategy would make me a strong candidate for this role. During my professional career, I have approached problems by focusing on the intersection of operational efficiency and revenue impact. In fact, while at Shine Masters, I implemented a new marketing analytics workflow by building time-series models for customer segmentation. By identifying high-value cohorts and refining targeting strategies, I contributed to a 300% increase in new customer acquisition over 12 months. Ultimately, I know that the Analytics and Insights Engineer III role at Deloitte would allow me to bring my proficiency in Python and SQL to design and execute impactful analyses across all client channels. Additionally, my role as a Full-Stack Software Developer at Haven Technologies enabled me to develop my technical integration and cross-functional collaboration skills. I spearheaded the optimization of relational database queries and reconciled complex insurance datasets, which improved overall data accuracy by 30% and facilitated better project delivery timelines. I am excited by the opportunity to use my background in both software engineering and marketing analytics in working on sophisticated adtech and martech solutions at Deloitte. I know that my technical rigor and strategic mindset align with what it takes to succeed at the Analytics and Insights Engineer III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