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Senior Manager, Data Science, B2B opportunity with Dow Jones. I am interested in this opportunity because of Dow Jones’ reputation as a premier provider of business intelligence and the critical role data plays in maintaining its edge in the global financial market. What interests me about working for Dow Jones is its commitment to accurate, deep, and innovative reporting, which intrigues me because of the company's unique position at the intersection of journalism and data-driven insights. I believe my expertise in building automated data pipelines and my ability to translate complex statistical findings into actionable business strategy would make me a strong candidate for this role. During my professional career, I have approached problems by prioritizing data integrity and stakeholder alignment. In fact, while at Shine Masters, I developed advanced segmentation models and automated reporting workflows that replaced manual processes, ultimately contributing to a 300% revenue increase in targeted segments. This experience allowed me to build the technical foundation necessary to support the predictive and attribution modeling requirements of this role at Dow Jones. Ultimately, I know that the Senior Manager, Data Science, B2B role at Dow Jones would allow me to bring my proficiency in Python, SQL, and predictive analytics to optimize your B2B marketing funnel. Additionally, my role as a Data Analyst &amp; Operations Lead enabled me to develop my cross-functional collaboration skills. I spearheaded the standardization of organizational KPIs and data governance frameworks, which established a single source of truth for all business stakeholders. This improved reporting accuracy and accelerated strategic decision-making, a result that directly mirrors the responsibilities of managing complex B2B data science capabilities. I am excited by the opportunity to use my background in cloud-based data architecture in working on large-scale infrastructure projects at Dow Jones. I know that my technical versatility and commitment to data-driven growth align with what it takes to succeed in this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