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Erwin Data Modeler opportunity with Futran Solutions. I am interested in this opportunity because of your firm's reputation for excellence in delivering complex data architecture solutions and my deep passion for building robust, scalable data models. What interests me about working for Futran Solutions is its commitment to driving data-centric value for clients; your focus on precision in high-stakes environments intrigues me because it aligns perfectly with my background in financial data analysis. I believe my technical proficiency in SQL and Python and my experience in designing normalized data schemas would make me a strong candidate for this role. During my professional career, I have approached problems by focusing on the intersection of data integrity and business utility. In fact, while working on a 2M+ row loan portfolio project, I designed a complex PostgreSQL data model—mapping borrower, loan, and credit dimensions—to identify default risk markers. This allowed the team to pinpoint high-risk segments, directly impacting strategic risk-based decision-making. Ultimately, I know that the Erwin Data Modeler role at Futran Solutions would allow me to bring my data modeling expertise to translate complex business requirements into canonical data structures. Additionally, my role as a Data Analyst &amp; Operations Lead at Shine Masters enabled me to develop my stakeholder collaboration skills. I led the development of automated dashboards that replaced manual processes, gathering requirements from executive leadership to ensure KPIs were accurate and actionable. This resulted in a 40% reduction in data processing time and significantly improved organizational visibility. I’m excited by the opportunity to use my analytical mindset in working on market data and collateral management systems at Futran Solutions. I know that my technical modeling skills and my experience in data validation align with what it takes to succeed in the Erwin Data Modeler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