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Data Analyst II opportunity with Garner Health. I am interested in this opportunity because of Garner’s commitment to fundamentally reimagining the U.S. healthcare economy through data-driven incentives and high-quality outcomes. What interests me about working for Garner Health is its mission-driven approach to reducing healthcare costs while improving patient care, which inspires me because I am passionate about using technical insights to create a tangible, positive impact on society. I believe my strong background in building end-to-end analytics pipelines and my experience in cross-functional stakeholder collaboration would make me a strong candidate for this role. During my professional career, I have approached problems with a focus on automation and scalability to drive business value. In fact, at Shine Masters, I developed interactive Power BI dashboards and automated intake workflows via Zapier that reduced data processing time by 40% and saved 8 hours of manual labor per week. This initiative directly empowered executive decision-making and allowed the team to focus on high-value customer acquisition strategies, resulting in a 300% increase in new customers. Ultimately, I know that the Data Analyst II role at Garner Health would allow me to bring my data modeling expertise to manage key KPIs and ensure consistent, accurate metrics definitions. Additionally, my role as a Full-Stack Software Developer at Haven Technologies (MassMutual) enabled me to develop my data engineering and database optimization skills. During a critical project, I integrated multiple disparate API and PostgreSQL data sources into a unified schema, which streamlined development for my peers and improved overall data accuracy by 30%. I’m excited by the opportunity to use my SQL and Python skills in working on population health testing and impact evaluation at Garner Health. I know that my technical proficiency and analytical mindset align with what it takes to succeed at the Data Analyst II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