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Science Quant Analyst opportunity with Howard-Sloan Search. I am interested in this opportunity because of the firm's commitment to bridging the gap between cutting-edge AI and high-impact financial advisory. What interests me about working for Howard-Sloan Search is its focus on building practical, scalable internal AI platforms that directly enhance banker productivity and client outcomes. I believe my rigorous quantitative background and my proficiency in building end-to-end data pipelines would make me a strong candidate for this role. During my professional career, I have approached problems by translating complex, ambiguous business questions into actionable analytical workplans. In fact, while at Shine Masters, I identified a need for more precise customer targeting and developed time series models to identify high-value segments, which contributed to a 300% increase in new customer acquisition over 12 months. This experience directly translates to the firm's need for analysts who can structure data to drive commercial results. Ultimately, I know that the Data Science Quant Analyst role at Howard-Sloan Search would allow me to bring my modeling and statistical analysis skills to support client-facing work. Additionally, my role as a Data Analyst at Shine Masters enabled me to develop my model evaluation and documentation skills. I spearheaded the transition from manual reporting to automated Power BI dashboards, documenting methodologies in a clear and auditable manner that reduced processing time by 40%. This commitment to governance and repeatable processes ensures the accuracy required for high-stakes financial environments. I’m excited by the opportunity to use my Python, SQL, and machine learning skills in working on complex client mandates at Howard-Sloan Search. I know that my strong quantitative instincts and my experience with modern data stacks align with what it takes to succeed at the Data Science Quant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