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Revenue Operations Analyst opportunity with impact.com. I am interested in this opportunity because of impact.com’s leadership in the commerce partnership space and its unique ability to unify complex partner ecosystems into one integrated platform. What interests me about working for impact.com is its commitment to driving measurable, performance-based growth, which inspires me because it mirrors my own data-driven approach to solving business challenges. I believe my expertise in revenue analytics and my experience in cross-functional process optimization would make me a strong candidate for this role. During my professional career, I have approached problems by translating complex datasets into scalable, actionable operational improvements. In fact, while at Shine Masters, I identified a bottleneck in lead processing and implemented a new automated workflow using Zapier and refined CRM data structures. By conducting a deep-dive analysis of our intake processes, I was able to save the team 8 hours per week, allowing resources to be reallocated directly toward customer acquisition and revenue generation, resulting in a 300% increase in new customer acquisition over 12 months. Ultimately, I know that the Senior Revenue Operations Analyst role at impact.com would allow me to bring my analytical rigor to optimizing the GTM sales stack. Additionally, my role as a Full-Stack Software Developer at Haven Technologies (MassMutual) enabled me to develop my systems-thinking and database integration skills. I collaborated directly with Underwriting and Product teams to align software outputs with business objectives, using SQL and JIRA to manage project lifecycles. This work reduced project delivery delays by 25% and ensured that data integrity was maintained across all insurance testing workflows. I’m excited by the opportunity to use my Salesforce power-user skills in working on the GTM tech stack at impact.com. I know that my technical proficiency in SQL/Python and my track record in project management align with what it takes to succeed at the Senior Revenue Operations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