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Consultant (Commercial Data) opportunity with JMAN Group. I am interested in this opportunity because of JMAN’s unique positioning at the intersection of private equity strategy and technical data engineering. What interests me about working for JMAN Group is your focus on delivering high-caliber, commercially critical solutions through an apprenticeship model; this culture of mentorship and intellectual curiosity aligns perfectly with my professional goals. I believe my structured problem-solving ability and my cross-functional project leadership would make me a strong candidate for this role. During my professional career, I have approached problems with a focus on delivering measurable commercial outcomes. In fact, at Shine Masters, I identified a need for better decision-making visibility and developed interactive Power BI dashboards while automating client workflows via Zapier. This initiative saved 8 hours per week and drove a 300% increase in new customer acquisition, proving that I can translate raw data into tangible business impact. Ultimately, I know that the Consultant (Commercial Data) role at JMAN Group would allow me to bring my data storytelling skills to drive key initiatives for your clients. Additionally, my role as a Full-Stack Software Developer at Haven Technologies enabled me to develop my stakeholder communication and technical documentation skills. In that capacity, I collaborated with Underwriting and Product teams to align software features with business objectives, ultimately reducing project delivery delays by 25%. I am excited by the opportunity to use my SQL and Python expertise in working on high-impact workstreams at JMAN Group. I know that my analytical rigor and ownership-driven mindset align with what it takes to succeed at the Consultant (Commercial Data) role. I am authorized to work in the U.S. without sponsorship.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