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Executive Administrative Assistant opportunity with JPMorganChase. I am interested in this opportunity because of the firm's reputation for excellence in the global financial sector and my desire to support high-level executives in a fast-paced, high-stakes environment. What interests me about working for JPMorganChase is its commitment to leveraging innovative technology, including internal AI-assisted tools, to drive efficiency and strategic decision-making, which aligns perfectly with my professional philosophy. I believe my expertise in complex calendar management and my ability to partner with cross-functional leadership teams would make me a strong candidate for this role. During my professional career, I have approached problems with a focus on meticulous organization and proactive solution-finding. In fact, at Direct Clean Solutions, I transformed our executive support operations by integrating advanced CRM systems and automated reporting, which led to a 20% increase in workflow efficiency for our C-suite team. Ultimately, I know that the Senior Executive Administrative Assistant role at JPMorganChase would allow me to bring my high-level project management skills to ensure seamless coordination of client visits and daily business operations. Additionally, my role as an Executive Administrative Assistant at Direct Clean Solutions enabled me to develop my interpersonal and stakeholder coordination skills. When our executives needed to interface with external vendors and industry leaders for large-scale trade shows, I took ownership of the entire logistics process, from booth registration to briefing material preparation. This resulted in a 100% success rate for scheduled client acquisitions and improved the visibility of our leadership team. I’m excited by the opportunity to use my background in financial reporting and executive gatekeeping in working on complex market visits and communications at JPMorganChase. I know that my 10+ years of experience supporting C-level executives and my technical proficiency align with what it takes to succeed at the Senior Executive Administrative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