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to Chief Investment Officer/Co-Founder opportunity with JW Michaels &amp; Co. I am interested in this opportunity because of my deep commitment to providing high-level operational support that allows visionary leaders to focus on strategic decision-making. What interests me about working for JW Michaels &amp; Co. is its reputation for excellence in the family office space, which intrigues me because of the unique blend of discretion, high-touch service, and operational agility required to succeed in such a private-client environment. I believe my expert-level calendar management and my proficiency in drafting high-stakes executive documentation would make me a strong candidate for this role. During my professional career, I have approached complex logistical problems by implementing automated systems to reclaim executive time. In fact, while at Direct Clean Solutions, I streamlined the scheduling workflow for three C-suite executives, resulting in the coordination of 50+ monthly meetings with zero conflicts. This enabled the executives to increase their focus on business development initiatives, ultimately improving overall operational efficiency. Ultimately, I know that the Executive Assistant to Chief Investment Officer/Co-Founder role at JW Michaels &amp; Co. would allow me to bring my meticulous calendar management skills to the key responsibility of executive meeting support. Additionally, my role as an Executive Administrative Assistant at Direct Clean Solutions enabled me to develop my presentation and document drafting skills. In this position, I frequently prepared briefing materials and meeting agendas, requiring the synthesis of complex data into clear, actionable slides and documents for leadership. This resulted in improved executive preparedness and more effective board-level discussions. I’m excited by the opportunity to use my document preparation skills in working on meeting support and slide drafting at JW Michaels &amp; Co. I know that my executive support expertise and administrative precision align with what it takes to succeed at the Executive Assistant to Chief Investment Officer/Co-Founder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