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Research Analyst, Sanctions Monitoring opportunity with Kharon. I am interested in this opportunity because of my deep commitment to leveraging data to mitigate complex global risks and my admiration for Kharon’s role in revolutionizing the landscape of global security intelligence. What interests me about working for Kharon is its commitment to providing unparalleled precision and depth in data to navigate complex international threats; this mission to 'connect the dots' in meaningful ways deeply resonates with my professional philosophy. I believe my advanced data pipeline development skills and my rigorous approach to data validation would make me a strong candidate for this role. During my professional career, I have approached problems by translating messy, unstructured data into actionable, high-integrity insights. In fact, while managing data operations, I encountered significant bottlenecks in reporting that impacted decision-making. I built automated ETL pipelines and dashboards to reconcile data from multiple sources, which reduced processing time by 40% and directly empowered stakeholders to identify high-risk segments within a 2M+ row portfolio. Ultimately, I know that the Research Analyst, Sanctions Monitoring role at Kharon would allow me to bring my SQL and Python expertise to perform the detailed quality assurance and dataset curation required to track sanctions and illicit networks. Additionally, my role as a Data Analyst at Shine Masters enabled me to develop my research and policy-monitoring skills. I regularly monitored performance KPIs and translated regulatory-adjacent data into internal policy improvements, reducing process bottlenecks by 25%. I’m excited by the opportunity to use my ability to identify data typologies in working on the continuous monitoring of global sanctions and export controls at Kharon. I know that my technical proficiency in data reconciliation and my analytical mindset align with what it takes to succeed at the Research Analyst, Sanctions Monitoring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