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Engineer I, Automation and Custom Applications opportunity with Magnite. I am interested in this opportunity because of Magnite’s position as the world's largest independent sell-side advertising platform and its commitment to building high-scale, impactful technology. What interests me about working for Magnite is its culture of continuous growth and its pragmatic approach to leveraging AI in engineering workflows, which aligns with my own drive to modernize legacy processes through innovative technical solutions. I believe my background in full-stack software development and my proficiency in automating complex data-driven workflows would make me a strong candidate for this role. During my professional career, I have approached problems with a focus on scalable automation and data integrity. In fact, while at Shine Masters, I identified a bottleneck in manual scheduling and intake workflows; I designed and implemented an automated system using API integrations and Python scripts to replace these manual processes. This project saved 8 hours per week and allowed our team to reallocate significant resources toward lead generation and customer acquisition, proving my ability to deliver high-value technical tools that drive business performance. Ultimately, I know that the Engineer I, Automation and Custom Applications role at Magnite would allow me to bring my expertise in Python-based automation to streamline the cross-functional workflows critical to your ecosystem. Additionally, my role as a Full-Stack Software Developer at Haven Technologies enabled me to develop my skills in building robust backend services. I collaborated with product and UI/UX teams to reconcile insurance data using complex SQL queries and relational database modeling, which improved data accuracy by 30% and significantly reduced project delivery delays. I’m excited by the opportunity to use my background in data engineering and application development to work on the backend services that support Magnite’s massive scale. I know that my technical problem-solving and proactive, growth-oriented mindset align with what it takes to succeed at the Engineer I, Automation and Custom Applications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