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Scientist opportunity with Mentor Talent Acquisition. I am interested in this opportunity because your mission to revolutionize the investment research workflow through AI-driven solutions aligns perfectly with my background in both computer science and data-focused business operations. What interests me about working for Mentor Talent Acquisition is your status as a profitable, self-funded leader in the private markets space; the opportunity to serve as your first dedicated data hire to build out foundational analytical infrastructure truly inspires me. I believe my expertise in Python-based ETL development and my proficiency in building actionable data models would make me a strong candidate for this role. During my professional career, I have approached problems by translating technical complexity into clear, ROI-driven business decisions. In fact, at Shine Masters, I identified that manual reporting was hindering growth, so I built an automated data pipeline using SQL and Power BI that centralized KPI visibility. This resulted in a 40% reduction in processing time and empowered the executive team to make data-backed decisions that led to a 300% increase in new customer acquisition. Ultimately, I know that the Data Scientist role at Mentor Talent Acquisition would allow me to bring my technical rigor to the foundational product engagement analytics mentioned in your description. Additionally, my role as a Full-Stack Software Developer at Haven Technologies enabled me to develop my CRM data integrity and cross-functional collaboration skills. I collaborated with product, underwriting, and UI/UX teams to reconcile insurance testing data across PostgreSQL and API sources, which improved data accuracy by 30% and directly reduced project delivery delays. I am excited by the opportunity to use my background in event-level data modeling and funnel analysis to work on building a comprehensive customer health scoring system at Mentor Talent Acquisition. I know that my expertise in building scalable pipelines and my ability to communicate insights to non-technical stakeholders align with what it takes to succeed at the Data Scientist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