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Community Organizer II (125) opportunity with Catholic Charities, Diocese of Metuchen. I am interested in this opportunity because of the organization's mission to serve vulnerable individuals and improve the quality of life within the Unity Square neighborhood. What interests me about working for Catholic Charities is its proactive approach to social services and community integration, which inspires me as someone dedicated to public service. I believe my bilingual proficiency and my strong background in program operations would make me a strong candidate for this role. During my professional career, I have approached complex operational problems with a focus on meticulous organization and community-focused efficiency. In fact, while managing logistics for corporate events and building operations, I identified a need for better stakeholder coordination, so I implemented a new CRM-based tracking system to manage vendor and partner communications. This resulted in a 25% increase in operational efficiency and significantly improved relationships with local contractors and service providers, mirroring the collaborative effort needed for the Choice Food Resource Center initiatives. Ultimately, I know that the Community Organizer II role at Catholic Charities would allow me to bring my operational expertise to the daily management of your community programs. Additionally, my role as an Executive Administrative Assistant enabled me to develop my resident engagement and partnership development skills. I frequently managed confidential communications and high-volume scheduling, ensuring that project timelines were met while maintaining professional and welcoming interactions with diverse stakeholders. This experience directly translates to the partnership development and program support required for your outreach initiatives. I’m excited by the opportunity to use my bilingual skills and project management experience in working on community garden projects and food distribution initiatives at Catholic Charities. I know that my administrative versatility and commitment to service align with what it takes to succeed at the Community Organizer II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