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CEO opportunity with Federation Early Learning Services. I am interested in this opportunity because of my deep commitment to supporting organizations that prioritize high-quality early childhood education and community well-being. What interests me about working for FELS is its newly adopted culture of innovation and its dedication to providing accessible care to all families, which inspires me because of my own history of supporting mission-driven leadership. I believe my expertise in executive operations and my ability to thrive in high-pressure environments would make me a strong candidate for this role. During my professional career, I have approached problems with a focus on meticulous organization and proactive solution-seeking. In fact, at Direct Clean Solutions, I streamlined executive workflows by managing complex international travel and board-level briefing materials. This resulted in a 50+ meeting monthly cadence that significantly increased executive efficiency and allowed our leadership team to focus on strategic growth. Ultimately, I know that the Executive Assistant to CEO role at FELS would allow me to bring my advanced calendar management skills to the core of your daily operations. Additionally, my role as an Administrative Assistant at Apex Supply Co. enabled me to develop my staff oversight skills. I managed office workflows, supervised team performance, and implemented a new digital document management system that reduced retrieval time by 50%. I am excited by the opportunity to use my ability to handle constant interruptions and calm navigation of difficult situations in working on the front lines of your busy office at FELS. I know that my background in executive support and my commitment to operational excellence align with what it takes to succeed as the Executive Assistant to the CEO.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