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On-Site Administrative Assistant opportunity with Mercer County Works. I am interested in this opportunity because of the organization's reputation for excellence in property management and its commitment to fostering organized, high-functioning residential communities. What interests me about working for Mercer County Works is its proactive approach to community maintenance and its dedication to service, which aligns with my own professional philosophy of providing seamless operational support. I believe my extensive experience in high-level executive administration and my proficiency in property-related operations would make me a strong candidate for this role. During my professional career, I have approached problems with a focus on meticulous organization and operational efficiency. In fact, while managing vendor communications and building operations, I identified a bottleneck in invoice processing and implemented an automated system that reduced processing time by 20%. This experience directly translates to the organizational needs of an On-Site Administrative Assistant, where accurate records and timely document management are critical. Ultimately, I know that the On-Site Administrative Assistant role at Mercer County Works would allow me to bring my advanced database management skills to the coordination of resident information and requests. Additionally, my role as an Executive Administrative Assistant enabled me to develop my interpersonal and communication skills. I successfully managed conflicting schedules and handled sensitive inquiries, ensuring that all stakeholders remained informed and satisfied. By leveraging these skills to maintain resident databases and support board meetings, I am confident in my ability to enhance your team's productivity. I’m excited by the opportunity to use my background in vendor coordination and record keeping in working on community documentation and compliance at Mercer County Works. I know that my administrative precision and service-oriented mindset align with what it takes to succeed in this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