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Scheduling Coordinator/Administrative Assistant opportunity with Mercer County Works. I am interested in this opportunity because of your firm’s reputation for excellence in the healthcare consulting space and your commitment to providing high-level operational support to your clients. What interests me about working for Mercer County Works is your data-driven approach to client success; this approach intrigues me because it mirrors my own philosophy regarding the importance of precision in administrative functions. I believe my advanced scheduling experience and my expertise in CRM and database management would make me a strong candidate for this role. During my professional career, I have approached complex organizational problems with a proactive mindset. In fact, at Direct Clean Solutions, I managed the coordination of 50+ monthly executive meetings, requiring me to source consultant availability and update internal tracking systems simultaneously. This resulted in a 20% increase in workflow efficiency and ensured that no critical scheduling conflicts impacted the firm’s outreach goals. Ultimately, I know that the Scheduling Coordinator/Administrative Assistant role at Mercer County Works would allow me to bring my extensive experience in calendar management to your team’s daily consultant scheduling needs. Additionally, my role as an Executive Administrative Assistant enabled me to develop my comprehensive MS Office proficiency. In my previous position, I maintained internal document management systems, handling the daily scanning, typing, and binding of confidential briefing materials and reports. This dedication to document integrity reduced retrieval time by 50% and ensured all client-facing materials were audit-ready. I’m excited by the opportunity to use my attention to detail in working on critical scheduling and administrative support at Mercer County Works. I know that my proficiency in MS Office and my background in professional scheduling align with what it takes to succeed at the Scheduling Coordinator/Administrative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