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Artificial Intelligence Researcher opportunity with Mercor. I am interested in this opportunity because of Mercor's unique position at the intersection of elite technical talent and cutting-edge AI research labs, which perfectly aligns with my background in data engineering and statistical modeling. What interests me about working for Mercor is its forward-thinking approach to evaluating agentic AI behavior, which inspires me because I am passionate about the mechanics behind how AI models reason and execute complex workflows. I believe my expertise in architecting end-to-end data pipelines and my strong background in statistical analysis would make me a strong candidate for this role. During my professional career, I have approached problems with a focus on data integrity and automation. In fact, while at Shine Masters, I identified a need for more robust data governance and created statistical models for customer segmentation. This resulted in a 300% increase in revenue for targeted segments, demonstrating my ability to derive actionable insights from complex datasets. Ultimately, I know that the Artificial Intelligence Researcher role at Mercor would allow me to bring my data engineering expertise to designing challenging agentic tasks for AI evaluation. Additionally, my role as a Data Analyst and Operations Lead at Shine Masters enabled me to develop my skills in evaluating automated workflows. I led the transition from manual reporting to automated Python pipelines, which eliminated repetitive entry and saved 8 hours per week, while simultaneously improving report accuracy through standardized KPIs. I am excited by the opportunity to use my experience in data quality and pipeline architecture in working on evaluation frameworks at Mercor. I know that my technical versatility and analytical rigor align with what it takes to succeed at the Artificial Intelligence Researcher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