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Risk Analyst opportunity with MetroPlusHealth. I am interested in this opportunity because of the organization's reputation for providing high-quality, data-driven healthcare services to the New York community, and my background in complex data modeling aligns perfectly with your mission. What interests me about working for MetroPlusHealth is your commitment to leveraging advanced analytics to improve patient outcomes and operational efficiency; this mission to bridge the gap between financial performance and clinical quality excites me because it mirrors my own passion for translating raw data into meaningful growth strategy. I believe my expertise in SQL-based data extraction and my experience in cross-functional reporting would make me a strong candidate for this role. During my professional career, I have approached problems by building automated workflows that ensure data integrity. In fact, while at Shine Masters, I standardized organizational KPIs and data governance frameworks, which eliminated reporting discrepancies and established a 'single source of truth' for business stakeholders. This resulted in a 40% improvement in work efficiency and significantly more accurate financial tracking. Ultimately, I know that the Risk Analyst role at MetroPlusHealth would allow me to bring my technical proficiency in SQL and Python to streamline your reporting processes and support your value-based payment initiatives. Additionally, my role as a Full-Stack Software Developer at Haven Technologies enabled me to develop my data integration and documentation skills. I collaborated with a 14-person team to reconcile complex testing data, using window functions and CTEs to improve data accuracy by 60%. These results showcase the impact of rigorous data validation—a skill I am eager to apply to your risk and utilization analysis projects. I’m excited by the opportunity to use my analytical toolkit in working on complex financial projection analyses at MetroPlusHealth. I know that my technical versatility and commitment to data quality align with what it takes to succeed at the Risk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