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Metadata Technical Analyst opportunity with Mizuho. I am interested in this opportunity because of Mizuho’s position as a global leader in investment banking and its commitment to robust data integrity and strategic governance. What interests me about working for Mizuho is its sophisticated approach to managing complex financial datasets, which intrigues me because of the high stakes involved in maintaining data accuracy for corporate and investment banking clients. I believe my expertise in building scalable data pipelines and my experience with rigorous data governance would make me a strong candidate for this role. During my professional career, I have approached complex data challenges with a focus on standardization and accuracy. In fact, while at Shine Masters, I identified that disparate reporting was causing data mismatches; I initiated a comprehensive project to standardize organizational KPIs and develop a centralized data dictionary. This effort created a reliable 'single source of truth' that reduced reporting discrepancies across the organization and enabled stakeholders to make faster, data-driven decisions. Ultimately, I know that the Metadata Technical Analyst role at Mizuho would allow me to bring my technical proficiency in SQL and Python to the critical task of maintaining high-quality data lineage and documentation. Additionally, my role as a Full-Stack Software Developer at Haven Technologies enabled me to develop my skills in relational modeling and database optimization. I collaborated on a 14-person team to reconcile testing data and optimize queries, improving data accuracy by 60% and ensuring our data architecture could support downstream analytical reporting. I am excited by the opportunity to use my background in data engineering and governance in working on the lifecycle of metadata at Mizuho. I know that my proficiency in data modeling and my dedication to process improvement align with what it takes to succeed at the Metadata Technical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