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Insights Strategist opportunity with Morning Brew Inc. I am interested in this opportunity because I have long admired Morning Brew's ability to turn complex business news into engaging, accessible narratives for a new generation of leaders. What interests me about working for Morning Brew Inc. is its unique approach to mixing wit with credible data, which inspires me because it mirrors my own philosophy that the best analytics are those that tell a story. I believe my expertise in quantitative data modeling and my ability to communicate complex findings to stakeholders would make me a strong candidate for this role. During my professional career, I have approached problems by prioritizing clear data storytelling. In fact, while at Shine Masters, I identified high-value customer segments through statistical modeling, then presented these findings to executive stakeholders to pivot our marketing strategy. This led to a 300% increase in revenue for that segment over 12 months, demonstrating how I translate data into business growth. Ultimately, I know that the Insights Strategist role at Morning Brew Inc. would allow me to bring my data analysis skills to the critical task of measuring campaign performance and franchise health. Additionally, my role as a Data Analyst at Shine Masters enabled me to develop my end-to-end research skills. I led the design and analysis of A/B tests and digital marketing research, which involved managing the data lifecycle from collection to final recommendation. This experience directly informs my ability to execute the research products and survey work required by the MBI Insights team. I’m excited by the opportunity to use my background in Python and SQL-based analytics to support the growth of The Breakroom and other proprietary research initiatives at Morning Brew Inc. I know that my proficiency in cross-functional data synthesis and my passion for audience understanding align with what it takes to succeed at the Insights Strategist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